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6" w:rsidRDefault="002D07BF" w:rsidP="006B7896">
      <w:pPr>
        <w:pStyle w:val="NormalWeb"/>
        <w:spacing w:before="0" w:beforeAutospacing="0" w:after="0" w:afterAutospacing="0"/>
        <w:rPr>
          <w:rFonts w:ascii="Acumin Pro Condensed Semibold" w:hAnsi="Acumin Pro Condensed Semibold" w:cstheme="minorBidi"/>
          <w:b/>
          <w:kern w:val="24"/>
          <w:sz w:val="28"/>
          <w:szCs w:val="42"/>
        </w:rPr>
      </w:pPr>
      <w:r w:rsidRPr="008001F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87D31" wp14:editId="03277F12">
                <wp:simplePos x="0" y="0"/>
                <wp:positionH relativeFrom="column">
                  <wp:posOffset>1447800</wp:posOffset>
                </wp:positionH>
                <wp:positionV relativeFrom="paragraph">
                  <wp:posOffset>-220980</wp:posOffset>
                </wp:positionV>
                <wp:extent cx="3238500" cy="296545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896" w:rsidRPr="00E911A3" w:rsidRDefault="0038494B" w:rsidP="006B78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cumin Pro Condensed Semibold" w:hAnsi="Acumin Pro Condensed Semibold" w:cstheme="minorBidi"/>
                                <w:color w:val="F79646" w:themeColor="accent6"/>
                                <w:kern w:val="24"/>
                                <w:sz w:val="28"/>
                                <w:szCs w:val="32"/>
                              </w:rPr>
                              <w:t>HOUSING</w:t>
                            </w:r>
                            <w:r w:rsidR="008C1FB1">
                              <w:rPr>
                                <w:rFonts w:ascii="Acumin Pro Condensed Semibold" w:hAnsi="Acumin Pro Condensed Semibold" w:cstheme="minorBidi"/>
                                <w:color w:val="F79646" w:themeColor="accent6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D07BF">
                              <w:rPr>
                                <w:rFonts w:ascii="Acumin Pro Condensed Semibold" w:hAnsi="Acumin Pro Condensed Semibold" w:cstheme="minorBidi"/>
                                <w:color w:val="F79646" w:themeColor="accent6"/>
                                <w:kern w:val="24"/>
                                <w:sz w:val="28"/>
                                <w:szCs w:val="32"/>
                              </w:rPr>
                              <w:t xml:space="preserve"> TASK</w:t>
                            </w:r>
                            <w:proofErr w:type="gramEnd"/>
                            <w:r w:rsidR="002D07BF">
                              <w:rPr>
                                <w:rFonts w:ascii="Acumin Pro Condensed Semibold" w:hAnsi="Acumin Pro Condensed Semibold" w:cstheme="minorBidi"/>
                                <w:color w:val="F79646" w:themeColor="accent6"/>
                                <w:kern w:val="24"/>
                                <w:sz w:val="28"/>
                                <w:szCs w:val="32"/>
                              </w:rPr>
                              <w:t xml:space="preserve"> FORCE FFFOERFORCE</w:t>
                            </w:r>
                            <w:r w:rsidR="006B7896" w:rsidRPr="00E911A3">
                              <w:rPr>
                                <w:rFonts w:ascii="Acumin Pro Condensed Semibold" w:hAnsi="Acumin Pro Condensed Semibold" w:cstheme="minorBidi"/>
                                <w:color w:val="F79646" w:themeColor="accent6"/>
                                <w:kern w:val="24"/>
                                <w:sz w:val="28"/>
                                <w:szCs w:val="32"/>
                              </w:rPr>
                              <w:t>COMMITTEE</w:t>
                            </w:r>
                          </w:p>
                        </w:txbxContent>
                      </wps:txbx>
                      <wps:bodyPr wrap="square" lIns="136401" tIns="68201" rIns="136401" bIns="6820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4pt;margin-top:-17.4pt;width:2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" filled="f" stroked="f">
                <v:textbox inset="3.78892mm,1.89447mm,3.78892mm,1.89447mm">
                  <w:txbxContent>
                    <w:p w:rsidR="006B7896" w:rsidRPr="00E911A3" w:rsidRDefault="0038494B" w:rsidP="006B7896">
                      <w:pPr>
                        <w:pStyle w:val="NormalWeb"/>
                        <w:spacing w:before="0" w:beforeAutospacing="0" w:after="0" w:afterAutospacing="0"/>
                        <w:rPr>
                          <w:szCs w:val="32"/>
                        </w:rPr>
                      </w:pPr>
                      <w:proofErr w:type="gramStart"/>
                      <w:r>
                        <w:rPr>
                          <w:rFonts w:ascii="Acumin Pro Condensed Semibold" w:hAnsi="Acumin Pro Condensed Semibold" w:cstheme="minorBidi"/>
                          <w:color w:val="F79646" w:themeColor="accent6"/>
                          <w:kern w:val="24"/>
                          <w:sz w:val="28"/>
                          <w:szCs w:val="32"/>
                        </w:rPr>
                        <w:t>HOUSING</w:t>
                      </w:r>
                      <w:r w:rsidR="008C1FB1">
                        <w:rPr>
                          <w:rFonts w:ascii="Acumin Pro Condensed Semibold" w:hAnsi="Acumin Pro Condensed Semibold" w:cstheme="minorBidi"/>
                          <w:color w:val="F79646" w:themeColor="accent6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2D07BF">
                        <w:rPr>
                          <w:rFonts w:ascii="Acumin Pro Condensed Semibold" w:hAnsi="Acumin Pro Condensed Semibold" w:cstheme="minorBidi"/>
                          <w:color w:val="F79646" w:themeColor="accent6"/>
                          <w:kern w:val="24"/>
                          <w:sz w:val="28"/>
                          <w:szCs w:val="32"/>
                        </w:rPr>
                        <w:t xml:space="preserve"> TASK</w:t>
                      </w:r>
                      <w:proofErr w:type="gramEnd"/>
                      <w:r w:rsidR="002D07BF">
                        <w:rPr>
                          <w:rFonts w:ascii="Acumin Pro Condensed Semibold" w:hAnsi="Acumin Pro Condensed Semibold" w:cstheme="minorBidi"/>
                          <w:color w:val="F79646" w:themeColor="accent6"/>
                          <w:kern w:val="24"/>
                          <w:sz w:val="28"/>
                          <w:szCs w:val="32"/>
                        </w:rPr>
                        <w:t xml:space="preserve"> FORCE FFFOERFORCE</w:t>
                      </w:r>
                      <w:r w:rsidR="006B7896" w:rsidRPr="00E911A3">
                        <w:rPr>
                          <w:rFonts w:ascii="Acumin Pro Condensed Semibold" w:hAnsi="Acumin Pro Condensed Semibold" w:cstheme="minorBidi"/>
                          <w:color w:val="F79646" w:themeColor="accent6"/>
                          <w:kern w:val="24"/>
                          <w:sz w:val="28"/>
                          <w:szCs w:val="32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  <w:r w:rsidR="00121232" w:rsidRPr="008001F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F7F92F1" wp14:editId="4C34E1D8">
            <wp:simplePos x="0" y="0"/>
            <wp:positionH relativeFrom="column">
              <wp:posOffset>-167005</wp:posOffset>
            </wp:positionH>
            <wp:positionV relativeFrom="paragraph">
              <wp:posOffset>-180242</wp:posOffset>
            </wp:positionV>
            <wp:extent cx="1460500" cy="737870"/>
            <wp:effectExtent l="0" t="0" r="6350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232">
        <w:rPr>
          <w:noProof/>
        </w:rPr>
        <w:drawing>
          <wp:anchor distT="0" distB="0" distL="114300" distR="114300" simplePos="0" relativeHeight="251670528" behindDoc="0" locked="0" layoutInCell="1" allowOverlap="1" wp14:anchorId="23C90173" wp14:editId="7149546B">
            <wp:simplePos x="0" y="0"/>
            <wp:positionH relativeFrom="column">
              <wp:posOffset>5201392</wp:posOffset>
            </wp:positionH>
            <wp:positionV relativeFrom="paragraph">
              <wp:posOffset>-249382</wp:posOffset>
            </wp:positionV>
            <wp:extent cx="1365662" cy="6121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61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232" w:rsidRPr="008001F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3EED7" wp14:editId="1A6E645B">
                <wp:simplePos x="0" y="0"/>
                <wp:positionH relativeFrom="column">
                  <wp:posOffset>1448435</wp:posOffset>
                </wp:positionH>
                <wp:positionV relativeFrom="paragraph">
                  <wp:posOffset>-59690</wp:posOffset>
                </wp:positionV>
                <wp:extent cx="4310380" cy="55753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1232" w:rsidRDefault="00121232" w:rsidP="001212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4B7FC" wp14:editId="56531CF5">
                                  <wp:extent cx="3255645" cy="6096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5645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232" w:rsidRPr="00121232" w:rsidRDefault="00121232" w:rsidP="001212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 w:val="8"/>
                                <w:szCs w:val="42"/>
                              </w:rPr>
                            </w:pPr>
                          </w:p>
                          <w:p w:rsidR="00121232" w:rsidRPr="00121232" w:rsidRDefault="00121232" w:rsidP="001212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121232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>MEETING #</w:t>
                            </w:r>
                            <w:r w:rsidR="009618A3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>8</w:t>
                            </w:r>
                            <w:r w:rsidRPr="00121232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 xml:space="preserve"> – </w:t>
                            </w:r>
                            <w:r w:rsidR="00AF0E14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>TUESDAY</w:t>
                            </w:r>
                            <w:r w:rsidR="008A6181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>,</w:t>
                            </w:r>
                            <w:r w:rsidR="009571D3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 xml:space="preserve"> </w:t>
                            </w:r>
                            <w:r w:rsidR="009618A3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 xml:space="preserve">SEPTEMBER 19, </w:t>
                            </w:r>
                            <w:r w:rsidR="00BE00BD">
                              <w:rPr>
                                <w:rFonts w:ascii="Acumin Pro Condensed Semibold" w:hAnsi="Acumin Pro Condensed Semibold" w:cstheme="minorBidi"/>
                                <w:color w:val="92D050"/>
                                <w:kern w:val="24"/>
                                <w:szCs w:val="42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136401" tIns="68201" rIns="136401" bIns="6820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14.05pt;margin-top:-4.7pt;width:339.4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" filled="f" stroked="f">
                <v:textbox inset="3.78892mm,1.89447mm,3.78892mm,1.89447mm">
                  <w:txbxContent>
                    <w:p w:rsidR="00121232" w:rsidRDefault="00121232" w:rsidP="00121232">
                      <w:pPr>
                        <w:pStyle w:val="NormalWeb"/>
                        <w:spacing w:before="0" w:beforeAutospacing="0" w:after="0" w:afterAutospacing="0"/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4B7FC" wp14:editId="56531CF5">
                            <wp:extent cx="3255645" cy="6096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5645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232" w:rsidRPr="00121232" w:rsidRDefault="00121232" w:rsidP="00121232">
                      <w:pPr>
                        <w:pStyle w:val="NormalWeb"/>
                        <w:spacing w:before="0" w:beforeAutospacing="0" w:after="0" w:afterAutospacing="0"/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 w:val="8"/>
                          <w:szCs w:val="42"/>
                        </w:rPr>
                      </w:pPr>
                    </w:p>
                    <w:p w:rsidR="00121232" w:rsidRPr="00121232" w:rsidRDefault="00121232" w:rsidP="00121232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121232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>MEETING #</w:t>
                      </w:r>
                      <w:r w:rsidR="009618A3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>8</w:t>
                      </w:r>
                      <w:r w:rsidRPr="00121232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 xml:space="preserve"> – </w:t>
                      </w:r>
                      <w:r w:rsidR="00AF0E14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>TUESDAY</w:t>
                      </w:r>
                      <w:r w:rsidR="008A6181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>,</w:t>
                      </w:r>
                      <w:r w:rsidR="009571D3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 xml:space="preserve"> </w:t>
                      </w:r>
                      <w:r w:rsidR="009618A3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 xml:space="preserve">SEPTEMBER 19, </w:t>
                      </w:r>
                      <w:r w:rsidR="00BE00BD">
                        <w:rPr>
                          <w:rFonts w:ascii="Acumin Pro Condensed Semibold" w:hAnsi="Acumin Pro Condensed Semibold" w:cstheme="minorBidi"/>
                          <w:color w:val="92D050"/>
                          <w:kern w:val="24"/>
                          <w:szCs w:val="42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</w:p>
    <w:p w:rsidR="006B7896" w:rsidRDefault="006B7896" w:rsidP="006B7896">
      <w:pPr>
        <w:pStyle w:val="NormalWeb"/>
        <w:spacing w:before="0" w:beforeAutospacing="0" w:after="0" w:afterAutospacing="0"/>
        <w:rPr>
          <w:rFonts w:ascii="Acumin Pro Condensed Semibold" w:hAnsi="Acumin Pro Condensed Semibold" w:cstheme="minorBidi"/>
          <w:b/>
          <w:kern w:val="24"/>
          <w:sz w:val="28"/>
          <w:szCs w:val="42"/>
        </w:rPr>
      </w:pPr>
    </w:p>
    <w:p w:rsidR="006B7896" w:rsidRDefault="006B7896" w:rsidP="006B7896">
      <w:pPr>
        <w:pStyle w:val="NormalWeb"/>
        <w:spacing w:before="0" w:beforeAutospacing="0" w:after="0" w:afterAutospacing="0"/>
        <w:rPr>
          <w:rFonts w:ascii="Acumin Pro Condensed Semibold" w:hAnsi="Acumin Pro Condensed Semibold" w:cstheme="minorBidi"/>
          <w:b/>
          <w:kern w:val="24"/>
          <w:sz w:val="28"/>
          <w:szCs w:val="42"/>
        </w:rPr>
      </w:pPr>
    </w:p>
    <w:p w:rsidR="00E911A3" w:rsidRPr="009632A1" w:rsidRDefault="00E911A3" w:rsidP="006B7896">
      <w:pPr>
        <w:pStyle w:val="NormalWeb"/>
        <w:spacing w:before="0" w:beforeAutospacing="0" w:after="0" w:afterAutospacing="0"/>
        <w:rPr>
          <w:rFonts w:ascii="Acumin Pro Condensed Semibold" w:hAnsi="Acumin Pro Condensed Semibold" w:cstheme="minorBidi"/>
          <w:b/>
          <w:kern w:val="24"/>
          <w:sz w:val="22"/>
          <w:szCs w:val="42"/>
        </w:rPr>
      </w:pPr>
    </w:p>
    <w:p w:rsidR="00E911A3" w:rsidRPr="00B25F7C" w:rsidRDefault="009632A1" w:rsidP="006B7896">
      <w:pPr>
        <w:pStyle w:val="NormalWeb"/>
        <w:spacing w:before="0" w:beforeAutospacing="0" w:after="0" w:afterAutospacing="0"/>
        <w:rPr>
          <w:rStyle w:val="BookTitle"/>
        </w:rPr>
      </w:pPr>
      <w:r w:rsidRPr="00B25F7C">
        <w:rPr>
          <w:rStyle w:val="BookTitle"/>
        </w:rPr>
        <w:t>Meeting Summary</w:t>
      </w:r>
      <w:r w:rsidR="00B25F7C">
        <w:rPr>
          <w:rStyle w:val="BookTitle"/>
        </w:rPr>
        <w:t xml:space="preserve"> for</w:t>
      </w:r>
    </w:p>
    <w:p w:rsidR="006B7896" w:rsidRDefault="00D34398" w:rsidP="00B25F7C">
      <w:r>
        <w:t>Tuesday</w:t>
      </w:r>
      <w:r w:rsidR="008A6181">
        <w:t>,</w:t>
      </w:r>
      <w:r w:rsidR="009632A1">
        <w:t xml:space="preserve"> </w:t>
      </w:r>
      <w:r w:rsidR="009618A3">
        <w:t xml:space="preserve">September 19, </w:t>
      </w:r>
      <w:r w:rsidR="004C2DA7">
        <w:t>2017</w:t>
      </w:r>
      <w:r w:rsidR="009632A1">
        <w:t xml:space="preserve"> </w:t>
      </w:r>
    </w:p>
    <w:p w:rsidR="009632A1" w:rsidRDefault="0038494B" w:rsidP="00B25F7C">
      <w:r>
        <w:t>3</w:t>
      </w:r>
      <w:r w:rsidR="00D34398">
        <w:t>:00 pm</w:t>
      </w:r>
      <w:r w:rsidR="009632A1">
        <w:t xml:space="preserve"> to </w:t>
      </w:r>
      <w:r>
        <w:t>5</w:t>
      </w:r>
      <w:r w:rsidR="004C2DA7">
        <w:t>:00</w:t>
      </w:r>
      <w:r w:rsidR="009632A1">
        <w:t xml:space="preserve"> p</w:t>
      </w:r>
      <w:r w:rsidR="008A6181">
        <w:t>.</w:t>
      </w:r>
      <w:r w:rsidR="009632A1">
        <w:t>m</w:t>
      </w:r>
      <w:r w:rsidR="008A6181">
        <w:t xml:space="preserve">. at </w:t>
      </w:r>
      <w:r>
        <w:t>Family Investment Center</w:t>
      </w:r>
      <w:r w:rsidR="00D34398">
        <w:t xml:space="preserve"> </w:t>
      </w:r>
    </w:p>
    <w:p w:rsidR="009632A1" w:rsidRPr="009632A1" w:rsidRDefault="0038494B" w:rsidP="00B25F7C">
      <w:r>
        <w:t>600-C Ridley Place,</w:t>
      </w:r>
      <w:r w:rsidR="00D34398">
        <w:t xml:space="preserve"> Newport News, VA 23607</w:t>
      </w:r>
    </w:p>
    <w:p w:rsidR="00C16CB8" w:rsidRPr="009632A1" w:rsidRDefault="00C16CB8">
      <w:pPr>
        <w:rPr>
          <w:rFonts w:ascii="Acumin Pro Condensed Semibold" w:eastAsiaTheme="minorEastAsia" w:hAnsi="Acumin Pro Condensed Semibold"/>
          <w:b/>
          <w:kern w:val="24"/>
          <w:szCs w:val="42"/>
        </w:rPr>
      </w:pPr>
    </w:p>
    <w:p w:rsidR="009632A1" w:rsidRPr="00B25F7C" w:rsidRDefault="009632A1">
      <w:pPr>
        <w:rPr>
          <w:rStyle w:val="BookTitle"/>
        </w:rPr>
      </w:pPr>
      <w:r w:rsidRPr="00B25F7C">
        <w:rPr>
          <w:rStyle w:val="BookTitle"/>
        </w:rPr>
        <w:t xml:space="preserve">Committee Members Present </w:t>
      </w:r>
    </w:p>
    <w:p w:rsidR="00EC5BA7" w:rsidRDefault="00D2392B">
      <w:pPr>
        <w:rPr>
          <w:rFonts w:ascii="Acumin Pro Condensed Semibold" w:eastAsiaTheme="minorEastAsia" w:hAnsi="Acumin Pro Condensed Semibold"/>
          <w:kern w:val="24"/>
          <w:szCs w:val="42"/>
        </w:rPr>
      </w:pPr>
      <w:r>
        <w:t xml:space="preserve">Angel Henderson, Angela Hopkins, Sandra Powell, </w:t>
      </w:r>
      <w:r w:rsidR="009618A3">
        <w:t xml:space="preserve">Angela Watford, </w:t>
      </w:r>
      <w:r>
        <w:t>Karen Wilds, Tricia Wilson</w:t>
      </w:r>
    </w:p>
    <w:p w:rsidR="00EC5BA7" w:rsidRDefault="00EC5BA7">
      <w:pPr>
        <w:rPr>
          <w:rFonts w:ascii="Acumin Pro Condensed Semibold" w:eastAsiaTheme="minorEastAsia" w:hAnsi="Acumin Pro Condensed Semibold"/>
          <w:kern w:val="24"/>
          <w:szCs w:val="42"/>
        </w:rPr>
      </w:pPr>
    </w:p>
    <w:p w:rsidR="009632A1" w:rsidRPr="00EC5BA7" w:rsidRDefault="009632A1">
      <w:pPr>
        <w:rPr>
          <w:rStyle w:val="BookTitle"/>
          <w:rFonts w:ascii="Acumin Pro Condensed Semibold" w:eastAsiaTheme="minorEastAsia" w:hAnsi="Acumin Pro Condensed Semibold"/>
          <w:b w:val="0"/>
          <w:bCs w:val="0"/>
          <w:smallCaps w:val="0"/>
          <w:spacing w:val="0"/>
          <w:kern w:val="24"/>
          <w:sz w:val="24"/>
          <w:szCs w:val="42"/>
        </w:rPr>
      </w:pPr>
      <w:r w:rsidRPr="00B25F7C">
        <w:rPr>
          <w:rStyle w:val="BookTitle"/>
        </w:rPr>
        <w:t xml:space="preserve">Committee Members Absent </w:t>
      </w:r>
    </w:p>
    <w:p w:rsidR="0087404D" w:rsidRDefault="00552C99">
      <w:pPr>
        <w:rPr>
          <w:rFonts w:ascii="Acumin Pro Condensed Semibold" w:eastAsiaTheme="minorEastAsia" w:hAnsi="Acumin Pro Condensed Semibold"/>
          <w:b/>
          <w:kern w:val="24"/>
          <w:szCs w:val="42"/>
        </w:rPr>
      </w:pPr>
      <w:r>
        <w:t xml:space="preserve">Ernestine Bell, Carl Burt, </w:t>
      </w:r>
      <w:r w:rsidR="009618A3">
        <w:t xml:space="preserve">Melanie </w:t>
      </w:r>
      <w:proofErr w:type="spellStart"/>
      <w:r w:rsidR="009618A3">
        <w:t>Crooms</w:t>
      </w:r>
      <w:proofErr w:type="spellEnd"/>
      <w:r w:rsidR="009618A3">
        <w:t xml:space="preserve">, </w:t>
      </w:r>
      <w:r>
        <w:t xml:space="preserve">Doris Davenport, Clarence Johnson, Mildred Mann, Arleen Peake, </w:t>
      </w:r>
      <w:r w:rsidR="009618A3">
        <w:t xml:space="preserve">Angela Scott, </w:t>
      </w:r>
      <w:proofErr w:type="spellStart"/>
      <w:r w:rsidR="009618A3">
        <w:t>Celeita</w:t>
      </w:r>
      <w:proofErr w:type="spellEnd"/>
      <w:r w:rsidR="009618A3">
        <w:t xml:space="preserve"> Scott, </w:t>
      </w:r>
      <w:r>
        <w:t xml:space="preserve">Patricia Taylor, </w:t>
      </w:r>
      <w:proofErr w:type="spellStart"/>
      <w:r>
        <w:t>Teunsha</w:t>
      </w:r>
      <w:proofErr w:type="spellEnd"/>
      <w:r>
        <w:t xml:space="preserve"> Vick, </w:t>
      </w:r>
      <w:proofErr w:type="spellStart"/>
      <w:r w:rsidR="009618A3">
        <w:t>Nikisha</w:t>
      </w:r>
      <w:proofErr w:type="spellEnd"/>
      <w:r w:rsidR="009618A3">
        <w:t xml:space="preserve"> White</w:t>
      </w:r>
    </w:p>
    <w:p w:rsidR="00552C99" w:rsidRPr="009632A1" w:rsidRDefault="00552C99">
      <w:pPr>
        <w:rPr>
          <w:rFonts w:ascii="Acumin Pro Condensed Semibold" w:eastAsiaTheme="minorEastAsia" w:hAnsi="Acumin Pro Condensed Semibold"/>
          <w:b/>
          <w:kern w:val="24"/>
          <w:szCs w:val="42"/>
        </w:rPr>
      </w:pPr>
    </w:p>
    <w:p w:rsidR="009632A1" w:rsidRPr="00B25F7C" w:rsidRDefault="009632A1">
      <w:pPr>
        <w:rPr>
          <w:rStyle w:val="BookTitle"/>
        </w:rPr>
      </w:pPr>
      <w:r w:rsidRPr="00B25F7C">
        <w:rPr>
          <w:rStyle w:val="BookTitle"/>
        </w:rPr>
        <w:t xml:space="preserve">Others Present </w:t>
      </w:r>
    </w:p>
    <w:p w:rsidR="0038494B" w:rsidRDefault="00DF7EB2" w:rsidP="00D2392B">
      <w:r>
        <w:t xml:space="preserve">Woo Kim, WRT (via skype), Stacey </w:t>
      </w:r>
      <w:proofErr w:type="spellStart"/>
      <w:r>
        <w:t>Blankin</w:t>
      </w:r>
      <w:proofErr w:type="spellEnd"/>
      <w:r>
        <w:t xml:space="preserve">, WRT (via skype), William Wellington, WRT (via skype), </w:t>
      </w:r>
      <w:r w:rsidR="009618A3">
        <w:t xml:space="preserve">Steve </w:t>
      </w:r>
      <w:proofErr w:type="spellStart"/>
      <w:r w:rsidR="009618A3">
        <w:t>Hagwood</w:t>
      </w:r>
      <w:proofErr w:type="spellEnd"/>
      <w:r w:rsidR="009618A3">
        <w:t xml:space="preserve">, NNRHA </w:t>
      </w:r>
    </w:p>
    <w:p w:rsidR="00344D25" w:rsidRPr="007E717A" w:rsidRDefault="00344D25" w:rsidP="007E717A">
      <w:pPr>
        <w:pStyle w:val="Heading2"/>
        <w:rPr>
          <w:rFonts w:eastAsiaTheme="minorEastAsia"/>
        </w:rPr>
      </w:pPr>
      <w:r w:rsidRPr="007E717A">
        <w:rPr>
          <w:rFonts w:eastAsiaTheme="minorEastAsia"/>
        </w:rPr>
        <w:t>1</w:t>
      </w:r>
      <w:r w:rsidR="00ED4E8F">
        <w:rPr>
          <w:rFonts w:eastAsiaTheme="minorEastAsia"/>
        </w:rPr>
        <w:t>.0</w:t>
      </w:r>
      <w:r w:rsidR="00ED4E8F">
        <w:rPr>
          <w:rFonts w:eastAsiaTheme="minorEastAsia"/>
        </w:rPr>
        <w:tab/>
      </w:r>
      <w:r w:rsidR="00DA6E05">
        <w:rPr>
          <w:rFonts w:eastAsiaTheme="minorEastAsia"/>
        </w:rPr>
        <w:t xml:space="preserve">Welcome  </w:t>
      </w:r>
      <w:r w:rsidR="003A40A4" w:rsidRPr="007E717A">
        <w:rPr>
          <w:rFonts w:eastAsiaTheme="minorEastAsia"/>
        </w:rPr>
        <w:t xml:space="preserve"> </w:t>
      </w:r>
    </w:p>
    <w:p w:rsidR="000620B6" w:rsidRDefault="00D2392B" w:rsidP="00E86318">
      <w:r>
        <w:t xml:space="preserve">Ms. </w:t>
      </w:r>
      <w:r w:rsidR="009618A3">
        <w:t>Hopkins</w:t>
      </w:r>
      <w:r w:rsidR="008C1FB1">
        <w:t xml:space="preserve"> </w:t>
      </w:r>
      <w:r w:rsidR="009B2BBA">
        <w:t>welcomed attendees</w:t>
      </w:r>
      <w:r>
        <w:t xml:space="preserve"> and </w:t>
      </w:r>
      <w:r w:rsidR="009B2BBA">
        <w:t xml:space="preserve">provided </w:t>
      </w:r>
      <w:r w:rsidR="000620B6">
        <w:t>the following summary of the meeting agenda</w:t>
      </w:r>
      <w:r w:rsidR="00DA6E05">
        <w:t>.</w:t>
      </w:r>
      <w:r w:rsidR="0058516B">
        <w:t xml:space="preserve"> The task force will discuss the following:</w:t>
      </w:r>
    </w:p>
    <w:p w:rsidR="00736DF7" w:rsidRDefault="00143A70" w:rsidP="00FD34DC">
      <w:pPr>
        <w:pStyle w:val="ListParagraph"/>
        <w:numPr>
          <w:ilvl w:val="0"/>
          <w:numId w:val="4"/>
        </w:numPr>
      </w:pPr>
      <w:r>
        <w:t xml:space="preserve">Proposed </w:t>
      </w:r>
      <w:r w:rsidR="009618A3">
        <w:t>Housing Plan</w:t>
      </w:r>
    </w:p>
    <w:p w:rsidR="00B730DE" w:rsidRDefault="00143A70" w:rsidP="00FD34DC">
      <w:pPr>
        <w:pStyle w:val="ListParagraph"/>
        <w:numPr>
          <w:ilvl w:val="0"/>
          <w:numId w:val="4"/>
        </w:numPr>
      </w:pPr>
      <w:r>
        <w:t xml:space="preserve">Proposed </w:t>
      </w:r>
      <w:r w:rsidR="009618A3">
        <w:t xml:space="preserve">Housing </w:t>
      </w:r>
      <w:r>
        <w:t xml:space="preserve">Program </w:t>
      </w:r>
      <w:r w:rsidR="009618A3">
        <w:t>Mix</w:t>
      </w:r>
    </w:p>
    <w:p w:rsidR="00E86318" w:rsidRDefault="009618A3" w:rsidP="009618A3">
      <w:pPr>
        <w:pStyle w:val="ListParagraph"/>
        <w:numPr>
          <w:ilvl w:val="0"/>
          <w:numId w:val="4"/>
        </w:numPr>
      </w:pPr>
      <w:r>
        <w:t>Visual Preference Survey</w:t>
      </w:r>
      <w:r w:rsidR="00E86318" w:rsidRPr="00E86318">
        <w:t xml:space="preserve"> </w:t>
      </w:r>
    </w:p>
    <w:p w:rsidR="00F85239" w:rsidRDefault="00E86318" w:rsidP="009618A3">
      <w:pPr>
        <w:pStyle w:val="ListParagraph"/>
        <w:numPr>
          <w:ilvl w:val="0"/>
          <w:numId w:val="4"/>
        </w:numPr>
      </w:pPr>
      <w:r>
        <w:t>CN</w:t>
      </w:r>
      <w:r w:rsidR="00607D23">
        <w:t>I</w:t>
      </w:r>
      <w:r>
        <w:t xml:space="preserve"> Updates</w:t>
      </w:r>
    </w:p>
    <w:p w:rsidR="00E86318" w:rsidRDefault="004353AF" w:rsidP="00F171EB">
      <w:pPr>
        <w:pStyle w:val="Heading2"/>
        <w:rPr>
          <w:rFonts w:eastAsiaTheme="minorEastAsia"/>
        </w:rPr>
      </w:pPr>
      <w:r>
        <w:rPr>
          <w:rFonts w:eastAsiaTheme="minorEastAsia"/>
        </w:rPr>
        <w:t>2</w:t>
      </w:r>
      <w:r w:rsidR="00ED4E8F">
        <w:rPr>
          <w:rFonts w:eastAsiaTheme="minorEastAsia"/>
        </w:rPr>
        <w:t>.0</w:t>
      </w:r>
      <w:r w:rsidR="00ED4E8F">
        <w:rPr>
          <w:rFonts w:eastAsiaTheme="minorEastAsia"/>
        </w:rPr>
        <w:tab/>
      </w:r>
      <w:r w:rsidR="00E86318">
        <w:rPr>
          <w:rFonts w:eastAsiaTheme="minorEastAsia"/>
        </w:rPr>
        <w:t>CNI Updates</w:t>
      </w:r>
    </w:p>
    <w:p w:rsidR="006B7896" w:rsidRDefault="00182FE5" w:rsidP="008C532B">
      <w:r>
        <w:t xml:space="preserve">Ms. Hopkins announced </w:t>
      </w:r>
      <w:r w:rsidR="006F5003">
        <w:t xml:space="preserve">a Community Workshop </w:t>
      </w:r>
      <w:r w:rsidR="00E6732C">
        <w:t>will be held on Thursday, September 28, 2017 from 6:00 PM to 8:00PM at the Marshall Early Learning Center (734 24</w:t>
      </w:r>
      <w:r w:rsidR="00E6732C" w:rsidRPr="00E6732C">
        <w:rPr>
          <w:vertAlign w:val="superscript"/>
        </w:rPr>
        <w:t>th</w:t>
      </w:r>
      <w:r w:rsidR="00E6732C">
        <w:t xml:space="preserve"> Street). Light refreshments will be provided and transportation is available for residents of Ridley Place, Lassiter Courts and Marshall Courts. It was stressed that everyone is encouraged to participate.  </w:t>
      </w:r>
      <w:r w:rsidR="006B7896" w:rsidRPr="008001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68C37" wp14:editId="01EE1DC9">
                <wp:simplePos x="0" y="0"/>
                <wp:positionH relativeFrom="column">
                  <wp:posOffset>7802245</wp:posOffset>
                </wp:positionH>
                <wp:positionV relativeFrom="paragraph">
                  <wp:posOffset>3800475</wp:posOffset>
                </wp:positionV>
                <wp:extent cx="6495415" cy="445135"/>
                <wp:effectExtent l="0" t="0" r="0" b="0"/>
                <wp:wrapNone/>
                <wp:docPr id="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7896" w:rsidRDefault="006B7896" w:rsidP="006B789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cumin Pro Condensed Semibold" w:hAnsi="Acumin Pro Condensed Semibold" w:cstheme="minorBidi"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</w:rPr>
                              <w:t>MARSHALL-RIDLEY CHOICE NEIGHBORHOOD</w:t>
                            </w:r>
                          </w:p>
                        </w:txbxContent>
                      </wps:txbx>
                      <wps:bodyPr wrap="square" lIns="136401" tIns="68201" rIns="136401" bIns="6820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8" type="#_x0000_t202" style="position:absolute;margin-left:614.35pt;margin-top:299.25pt;width:511.45pt;height:3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" filled="f" stroked="f">
                <v:textbox style="mso-fit-shape-to-text:t" inset="3.78892mm,1.89447mm,3.78892mm,1.89447mm">
                  <w:txbxContent>
                    <w:p w:rsidR="006B7896" w:rsidRDefault="006B7896" w:rsidP="006B7896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cumin Pro Condensed Semibold" w:hAnsi="Acumin Pro Condensed Semibold" w:cstheme="minorBidi"/>
                          <w:color w:val="548DD4" w:themeColor="text2" w:themeTint="99"/>
                          <w:kern w:val="24"/>
                          <w:sz w:val="40"/>
                          <w:szCs w:val="40"/>
                        </w:rPr>
                        <w:t>MARSHALL-RIDLEY CHOICE NEIGHBORHOOD</w:t>
                      </w:r>
                    </w:p>
                  </w:txbxContent>
                </v:textbox>
              </v:shape>
            </w:pict>
          </mc:Fallback>
        </mc:AlternateContent>
      </w:r>
    </w:p>
    <w:p w:rsidR="00DF7EB2" w:rsidRDefault="009560D8" w:rsidP="00DF7EB2">
      <w:pPr>
        <w:pStyle w:val="Heading2"/>
        <w:rPr>
          <w:rFonts w:eastAsiaTheme="minorEastAsia"/>
        </w:rPr>
      </w:pPr>
      <w:r>
        <w:rPr>
          <w:rFonts w:eastAsiaTheme="minorEastAsia"/>
        </w:rPr>
        <w:t>3.0</w:t>
      </w:r>
      <w:r>
        <w:rPr>
          <w:rFonts w:eastAsiaTheme="minorEastAsia"/>
        </w:rPr>
        <w:tab/>
      </w:r>
      <w:r w:rsidR="00143A70">
        <w:rPr>
          <w:rFonts w:eastAsiaTheme="minorEastAsia"/>
        </w:rPr>
        <w:t xml:space="preserve">Proposed </w:t>
      </w:r>
      <w:r w:rsidR="00E86318">
        <w:rPr>
          <w:rFonts w:eastAsiaTheme="minorEastAsia"/>
        </w:rPr>
        <w:t xml:space="preserve">Housing </w:t>
      </w:r>
      <w:r w:rsidR="00182FE5">
        <w:rPr>
          <w:rFonts w:eastAsiaTheme="minorEastAsia"/>
        </w:rPr>
        <w:t>Plan</w:t>
      </w:r>
    </w:p>
    <w:p w:rsidR="00B02BDE" w:rsidRDefault="00DF7EB2" w:rsidP="00DF7EB2">
      <w:r>
        <w:t xml:space="preserve">Mr. Kim </w:t>
      </w:r>
      <w:r w:rsidR="00B02BDE">
        <w:t xml:space="preserve">provided </w:t>
      </w:r>
      <w:r w:rsidR="00607D23">
        <w:t>in</w:t>
      </w:r>
      <w:r>
        <w:t xml:space="preserve">formation </w:t>
      </w:r>
      <w:r w:rsidR="00607D23">
        <w:t xml:space="preserve">that was </w:t>
      </w:r>
      <w:r w:rsidR="00B02BDE">
        <w:t>presented at the Pre-Proposal Meeting held on September 14, 2017</w:t>
      </w:r>
      <w:r w:rsidR="00B02BDE" w:rsidRPr="00B02BDE">
        <w:t xml:space="preserve"> </w:t>
      </w:r>
      <w:r w:rsidR="00B02BDE">
        <w:t>for interested developers in the Marshall-Ridley Choice Neighborhood</w:t>
      </w:r>
      <w:r w:rsidR="00DF2CE6">
        <w:t xml:space="preserve"> (CN)</w:t>
      </w:r>
      <w:r w:rsidR="00B02BDE">
        <w:t>. The information covered housing goals, housing needs assessment findings, and housing plan program overview.</w:t>
      </w:r>
      <w:r w:rsidR="00607D23">
        <w:t xml:space="preserve"> The following is a summary of key points.</w:t>
      </w:r>
    </w:p>
    <w:p w:rsidR="00B02BDE" w:rsidRDefault="00B02BDE" w:rsidP="00DF7EB2"/>
    <w:p w:rsidR="00DF7EB2" w:rsidRPr="00914208" w:rsidRDefault="00AA1C3D" w:rsidP="00DF7EB2">
      <w:r>
        <w:lastRenderedPageBreak/>
        <w:t>H</w:t>
      </w:r>
      <w:r w:rsidR="00DF7EB2" w:rsidRPr="00914208">
        <w:t xml:space="preserve">ousing </w:t>
      </w:r>
      <w:r>
        <w:t>G</w:t>
      </w:r>
      <w:r w:rsidR="00DF7EB2" w:rsidRPr="00914208">
        <w:t>oals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Provide diverse housing types for a diverse community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Integrate various housing types in an indistinguishable manner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Provide affordable housing citywide in an equitable manner (distribution of affordable housing, based on where the residents want to live)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Increase homeownership rate in the neighborhood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Address blight</w:t>
      </w:r>
    </w:p>
    <w:p w:rsidR="00DF7EB2" w:rsidRPr="00914208" w:rsidRDefault="00DF7EB2" w:rsidP="00AA1C3D">
      <w:pPr>
        <w:numPr>
          <w:ilvl w:val="0"/>
          <w:numId w:val="11"/>
        </w:numPr>
      </w:pPr>
      <w:r w:rsidRPr="00914208">
        <w:t>Fostering community</w:t>
      </w:r>
    </w:p>
    <w:p w:rsidR="00DF7EB2" w:rsidRDefault="00DF7EB2" w:rsidP="00DF7EB2"/>
    <w:p w:rsidR="00AA1C3D" w:rsidRPr="00914208" w:rsidRDefault="00AA1C3D" w:rsidP="00DF7EB2">
      <w:r>
        <w:t>Housing Needs Assessment Findings</w:t>
      </w:r>
    </w:p>
    <w:p w:rsidR="00AA1C3D" w:rsidRDefault="00AA1C3D" w:rsidP="00DF7EB2">
      <w:pPr>
        <w:numPr>
          <w:ilvl w:val="0"/>
          <w:numId w:val="11"/>
        </w:numPr>
      </w:pPr>
      <w:r>
        <w:t>Affordability is a major factor for determining resident’s current living location</w:t>
      </w:r>
    </w:p>
    <w:p w:rsidR="00AA1C3D" w:rsidRDefault="00AA1C3D" w:rsidP="00AA1C3D">
      <w:pPr>
        <w:pStyle w:val="ListParagraph"/>
      </w:pPr>
      <w:r>
        <w:t>15% of resident</w:t>
      </w:r>
      <w:r w:rsidR="00607D23">
        <w:t>s</w:t>
      </w:r>
      <w:r>
        <w:t xml:space="preserve"> would live in Denbigh; 7% would live uptown; 6% would live downtown; and 4% would live midtown</w:t>
      </w:r>
    </w:p>
    <w:p w:rsidR="00AA1C3D" w:rsidRDefault="00AA1C3D" w:rsidP="00DF7EB2">
      <w:pPr>
        <w:numPr>
          <w:ilvl w:val="0"/>
          <w:numId w:val="11"/>
        </w:numPr>
      </w:pPr>
      <w:r>
        <w:t>Majority of Ridley Place and neighborhood survey respondents feel that there is a need for new affordable housing</w:t>
      </w:r>
    </w:p>
    <w:p w:rsidR="00AA1C3D" w:rsidRDefault="00AA1C3D" w:rsidP="00DF7EB2">
      <w:pPr>
        <w:numPr>
          <w:ilvl w:val="0"/>
          <w:numId w:val="11"/>
        </w:numPr>
      </w:pPr>
      <w:r>
        <w:t>Residents identified affording repairs and upkeep, paying the rent/mortgage/taxes and utilities as difficulties in maintaining a home</w:t>
      </w:r>
    </w:p>
    <w:p w:rsidR="00327953" w:rsidRDefault="00327953" w:rsidP="00DF7EB2">
      <w:pPr>
        <w:numPr>
          <w:ilvl w:val="0"/>
          <w:numId w:val="11"/>
        </w:numPr>
      </w:pPr>
      <w:r>
        <w:t>With respect to housing diversity:</w:t>
      </w:r>
    </w:p>
    <w:p w:rsidR="00327953" w:rsidRDefault="00327953" w:rsidP="00327953">
      <w:pPr>
        <w:numPr>
          <w:ilvl w:val="1"/>
          <w:numId w:val="11"/>
        </w:numPr>
      </w:pPr>
      <w:r>
        <w:t>96% of Ridley Place survey respondents reported household income of less than $20K</w:t>
      </w:r>
    </w:p>
    <w:p w:rsidR="00327953" w:rsidRDefault="00327953" w:rsidP="00327953">
      <w:pPr>
        <w:numPr>
          <w:ilvl w:val="1"/>
          <w:numId w:val="11"/>
        </w:numPr>
      </w:pPr>
      <w:r>
        <w:t>21% of Ridley Place survey respondents live with someone 55 or over</w:t>
      </w:r>
    </w:p>
    <w:p w:rsidR="00327953" w:rsidRDefault="00327953" w:rsidP="00327953">
      <w:pPr>
        <w:numPr>
          <w:ilvl w:val="1"/>
          <w:numId w:val="11"/>
        </w:numPr>
      </w:pPr>
      <w:r>
        <w:t>32% of Ridley Place survey respondents live with someone with a disability</w:t>
      </w:r>
    </w:p>
    <w:p w:rsidR="00327953" w:rsidRDefault="00327953" w:rsidP="00327953">
      <w:pPr>
        <w:numPr>
          <w:ilvl w:val="1"/>
          <w:numId w:val="11"/>
        </w:numPr>
      </w:pPr>
      <w:r>
        <w:t>Barriers to homeownership include unstable employment, unable to afford down payment and need credit repair/financial counseling</w:t>
      </w:r>
    </w:p>
    <w:p w:rsidR="00327953" w:rsidRDefault="00327953" w:rsidP="00327953">
      <w:pPr>
        <w:numPr>
          <w:ilvl w:val="1"/>
          <w:numId w:val="11"/>
        </w:numPr>
      </w:pPr>
      <w:r>
        <w:t>More than half of the Ridley Place survey respondents have lived in Ridley for less than 5 years</w:t>
      </w:r>
    </w:p>
    <w:p w:rsidR="00327953" w:rsidRDefault="00327953" w:rsidP="00327953">
      <w:pPr>
        <w:numPr>
          <w:ilvl w:val="1"/>
          <w:numId w:val="11"/>
        </w:numPr>
      </w:pPr>
      <w:r>
        <w:t>56% of Ridley Place residents would return to Ridley Place</w:t>
      </w:r>
    </w:p>
    <w:p w:rsidR="00C10346" w:rsidRDefault="00C10346" w:rsidP="00327953">
      <w:pPr>
        <w:numPr>
          <w:ilvl w:val="1"/>
          <w:numId w:val="11"/>
        </w:numPr>
      </w:pPr>
      <w:r>
        <w:t>34% of Ridley Place survey respondents would like to remain in current home as they age</w:t>
      </w:r>
    </w:p>
    <w:p w:rsidR="00DF7EB2" w:rsidRDefault="00143A70" w:rsidP="00327953">
      <w:pPr>
        <w:numPr>
          <w:ilvl w:val="0"/>
          <w:numId w:val="11"/>
        </w:numPr>
      </w:pPr>
      <w:r>
        <w:t xml:space="preserve">Proposed </w:t>
      </w:r>
      <w:bookmarkStart w:id="0" w:name="_GoBack"/>
      <w:bookmarkEnd w:id="0"/>
      <w:r w:rsidR="00DF7EB2" w:rsidRPr="00D54110">
        <w:t xml:space="preserve">Housing </w:t>
      </w:r>
      <w:r w:rsidR="00C10346">
        <w:t>P</w:t>
      </w:r>
      <w:r w:rsidR="00DF7EB2" w:rsidRPr="00D54110">
        <w:t xml:space="preserve">lan </w:t>
      </w:r>
      <w:r w:rsidR="00C10346">
        <w:t>Program Overview</w:t>
      </w:r>
    </w:p>
    <w:p w:rsidR="00CA4DF4" w:rsidRDefault="009C5A0F" w:rsidP="00CA4DF4">
      <w:pPr>
        <w:pStyle w:val="ListParagraph"/>
        <w:numPr>
          <w:ilvl w:val="1"/>
          <w:numId w:val="11"/>
        </w:numPr>
      </w:pPr>
      <w:r>
        <w:t xml:space="preserve">Major components of </w:t>
      </w:r>
      <w:r w:rsidR="00CA4DF4">
        <w:t xml:space="preserve">the </w:t>
      </w:r>
      <w:r>
        <w:t xml:space="preserve">plan: </w:t>
      </w:r>
    </w:p>
    <w:p w:rsidR="00CA4DF4" w:rsidRDefault="00CA4DF4" w:rsidP="00CA4DF4">
      <w:pPr>
        <w:pStyle w:val="ListParagraph"/>
        <w:numPr>
          <w:ilvl w:val="2"/>
          <w:numId w:val="11"/>
        </w:numPr>
      </w:pPr>
      <w:r>
        <w:t>Inside Marshall-Ridley CN</w:t>
      </w:r>
    </w:p>
    <w:p w:rsidR="00CA4DF4" w:rsidRDefault="00CA4DF4" w:rsidP="00CA4DF4">
      <w:pPr>
        <w:pStyle w:val="ListParagraph"/>
        <w:numPr>
          <w:ilvl w:val="3"/>
          <w:numId w:val="11"/>
        </w:numPr>
      </w:pPr>
      <w:r>
        <w:t>On-site (</w:t>
      </w:r>
      <w:r w:rsidR="009C5A0F">
        <w:t>Ridley Place site</w:t>
      </w:r>
      <w:r>
        <w:t>)</w:t>
      </w:r>
    </w:p>
    <w:p w:rsidR="009C5A0F" w:rsidRPr="00D54110" w:rsidRDefault="00CA4DF4" w:rsidP="00CA4DF4">
      <w:pPr>
        <w:pStyle w:val="ListParagraph"/>
        <w:numPr>
          <w:ilvl w:val="3"/>
          <w:numId w:val="11"/>
        </w:numPr>
      </w:pPr>
      <w:r>
        <w:t>Off-site (</w:t>
      </w:r>
      <w:r w:rsidR="009C5A0F">
        <w:t>Jefferson Avenue corridor; homeownership</w:t>
      </w:r>
      <w:r>
        <w:t>)</w:t>
      </w:r>
      <w:r w:rsidR="009C5A0F">
        <w:t xml:space="preserve"> </w:t>
      </w:r>
    </w:p>
    <w:p w:rsidR="00CA4DF4" w:rsidRDefault="00CA4DF4" w:rsidP="00CA4DF4">
      <w:pPr>
        <w:numPr>
          <w:ilvl w:val="2"/>
          <w:numId w:val="11"/>
        </w:numPr>
      </w:pPr>
      <w:r>
        <w:t>Outside Marshall-</w:t>
      </w:r>
      <w:r w:rsidR="00DF7EB2" w:rsidRPr="00D54110">
        <w:t xml:space="preserve">Ridley </w:t>
      </w:r>
      <w:r>
        <w:t>CN</w:t>
      </w:r>
    </w:p>
    <w:p w:rsidR="00DF7EB2" w:rsidRDefault="00CA4DF4" w:rsidP="00CA4DF4">
      <w:pPr>
        <w:numPr>
          <w:ilvl w:val="3"/>
          <w:numId w:val="11"/>
        </w:numPr>
      </w:pPr>
      <w:r>
        <w:t>Downtown</w:t>
      </w:r>
      <w:r w:rsidR="00DF7EB2" w:rsidRPr="00D54110">
        <w:t xml:space="preserve"> </w:t>
      </w:r>
    </w:p>
    <w:p w:rsidR="00CA4DF4" w:rsidRDefault="00CA4DF4" w:rsidP="00CA4DF4">
      <w:pPr>
        <w:numPr>
          <w:ilvl w:val="1"/>
          <w:numId w:val="11"/>
        </w:numPr>
      </w:pPr>
      <w:r>
        <w:t>Total program includes a total of 520 units and up to 45,250 square feet of non-residential space</w:t>
      </w:r>
    </w:p>
    <w:p w:rsidR="00CA4DF4" w:rsidRDefault="00CA4DF4" w:rsidP="00CA4DF4">
      <w:pPr>
        <w:numPr>
          <w:ilvl w:val="1"/>
          <w:numId w:val="11"/>
        </w:numPr>
      </w:pPr>
      <w:r>
        <w:t>Key elements</w:t>
      </w:r>
      <w:r w:rsidR="00DF2CE6">
        <w:t xml:space="preserve"> of the program</w:t>
      </w:r>
      <w:r>
        <w:t>:</w:t>
      </w:r>
    </w:p>
    <w:p w:rsidR="00CA4DF4" w:rsidRDefault="00CA4DF4" w:rsidP="00CA4DF4">
      <w:pPr>
        <w:numPr>
          <w:ilvl w:val="2"/>
          <w:numId w:val="11"/>
        </w:numPr>
      </w:pPr>
      <w:r>
        <w:t>Ridley Place Site</w:t>
      </w:r>
    </w:p>
    <w:p w:rsidR="00A43530" w:rsidRDefault="00A43530" w:rsidP="00CA4DF4">
      <w:pPr>
        <w:numPr>
          <w:ilvl w:val="3"/>
          <w:numId w:val="11"/>
        </w:numPr>
      </w:pPr>
      <w:r>
        <w:t xml:space="preserve">Keeping </w:t>
      </w:r>
      <w:r w:rsidR="00607D23">
        <w:t xml:space="preserve">the </w:t>
      </w:r>
      <w:r>
        <w:t>Family Investment Center (FIC) as a community resource</w:t>
      </w:r>
    </w:p>
    <w:p w:rsidR="00E549F8" w:rsidRDefault="00A43530" w:rsidP="00CA4DF4">
      <w:pPr>
        <w:pStyle w:val="ListParagraph"/>
        <w:numPr>
          <w:ilvl w:val="3"/>
          <w:numId w:val="11"/>
        </w:numPr>
        <w:spacing w:after="200"/>
      </w:pPr>
      <w:r>
        <w:lastRenderedPageBreak/>
        <w:t xml:space="preserve">Creating a green spine down the center of </w:t>
      </w:r>
      <w:r w:rsidR="00607D23">
        <w:t xml:space="preserve">the </w:t>
      </w:r>
      <w:r>
        <w:t>Ridley</w:t>
      </w:r>
      <w:r w:rsidR="00607D23">
        <w:t xml:space="preserve"> Place site which allow </w:t>
      </w:r>
      <w:r w:rsidR="00F14FDA">
        <w:t>for the construction of a new street</w:t>
      </w:r>
      <w:r w:rsidR="009C6111">
        <w:t xml:space="preserve"> </w:t>
      </w:r>
      <w:r w:rsidR="00F14FDA">
        <w:t>that would connect to Bates Drive</w:t>
      </w:r>
      <w:r w:rsidR="00607D23">
        <w:t xml:space="preserve">; ultimately providing connection from </w:t>
      </w:r>
      <w:r w:rsidR="00F14FDA">
        <w:t>the development to King-Lincoln Park and the waterfront</w:t>
      </w:r>
    </w:p>
    <w:p w:rsidR="00E549F8" w:rsidRDefault="00E549F8" w:rsidP="00CA4DF4">
      <w:pPr>
        <w:pStyle w:val="ListParagraph"/>
        <w:numPr>
          <w:ilvl w:val="3"/>
          <w:numId w:val="11"/>
        </w:numPr>
        <w:spacing w:after="200"/>
      </w:pPr>
      <w:r>
        <w:t xml:space="preserve">The plan is </w:t>
      </w:r>
      <w:r w:rsidR="00607D23">
        <w:t xml:space="preserve">designed so </w:t>
      </w:r>
      <w:r>
        <w:t>that streets could be c</w:t>
      </w:r>
      <w:r w:rsidR="00607D23">
        <w:t>ontinued</w:t>
      </w:r>
      <w:r>
        <w:t xml:space="preserve"> to Jefferson Avenue in the future</w:t>
      </w:r>
    </w:p>
    <w:p w:rsidR="00E549F8" w:rsidRDefault="00E549F8" w:rsidP="00CA4DF4">
      <w:pPr>
        <w:pStyle w:val="ListParagraph"/>
        <w:numPr>
          <w:ilvl w:val="3"/>
          <w:numId w:val="11"/>
        </w:numPr>
        <w:spacing w:after="200"/>
      </w:pPr>
      <w:r>
        <w:t xml:space="preserve">The plan follows the historic traditional grid street pattern of the larger Southeast Community </w:t>
      </w:r>
    </w:p>
    <w:p w:rsidR="009C6111" w:rsidRDefault="009C6111" w:rsidP="00CA4DF4">
      <w:pPr>
        <w:pStyle w:val="ListParagraph"/>
        <w:numPr>
          <w:ilvl w:val="3"/>
          <w:numId w:val="11"/>
        </w:numPr>
        <w:spacing w:after="200"/>
      </w:pPr>
      <w:r>
        <w:t>Design allows for the reintroduction of a</w:t>
      </w:r>
      <w:r w:rsidR="00E549F8">
        <w:t xml:space="preserve">lleyways to the community </w:t>
      </w:r>
    </w:p>
    <w:p w:rsidR="009C6111" w:rsidRDefault="00E549F8" w:rsidP="00CA4DF4">
      <w:pPr>
        <w:pStyle w:val="ListParagraph"/>
        <w:numPr>
          <w:ilvl w:val="3"/>
          <w:numId w:val="11"/>
        </w:numPr>
        <w:spacing w:after="200"/>
      </w:pPr>
      <w:r>
        <w:t>Buildings south of 16</w:t>
      </w:r>
      <w:r w:rsidRPr="009C6111">
        <w:rPr>
          <w:vertAlign w:val="superscript"/>
        </w:rPr>
        <w:t>th</w:t>
      </w:r>
      <w:r>
        <w:t xml:space="preserve"> Street (Neighborhood Zone) are low density</w:t>
      </w:r>
    </w:p>
    <w:p w:rsidR="00E549F8" w:rsidRDefault="009C6111" w:rsidP="00CA4DF4">
      <w:pPr>
        <w:pStyle w:val="ListParagraph"/>
        <w:numPr>
          <w:ilvl w:val="3"/>
          <w:numId w:val="11"/>
        </w:numPr>
        <w:spacing w:after="200"/>
      </w:pPr>
      <w:r>
        <w:t xml:space="preserve">Opportunity for </w:t>
      </w:r>
      <w:r w:rsidR="00E549F8">
        <w:t>homeownership fac</w:t>
      </w:r>
      <w:r>
        <w:t>ing</w:t>
      </w:r>
      <w:r w:rsidR="00E549F8">
        <w:t xml:space="preserve"> the green sp</w:t>
      </w:r>
      <w:r>
        <w:t xml:space="preserve">ine </w:t>
      </w:r>
      <w:r w:rsidR="00E549F8">
        <w:t>as well as along Ivy Avenue</w:t>
      </w:r>
    </w:p>
    <w:p w:rsidR="00E549F8" w:rsidRDefault="009C6111" w:rsidP="00CA4DF4">
      <w:pPr>
        <w:pStyle w:val="ListParagraph"/>
        <w:numPr>
          <w:ilvl w:val="3"/>
          <w:numId w:val="11"/>
        </w:numPr>
        <w:spacing w:after="200"/>
      </w:pPr>
      <w:r>
        <w:t xml:space="preserve">Allows for </w:t>
      </w:r>
      <w:r w:rsidR="00E549F8">
        <w:t>duplex units</w:t>
      </w:r>
    </w:p>
    <w:p w:rsidR="00E549F8" w:rsidRDefault="00E549F8" w:rsidP="00CA4DF4">
      <w:pPr>
        <w:pStyle w:val="ListParagraph"/>
        <w:numPr>
          <w:ilvl w:val="3"/>
          <w:numId w:val="11"/>
        </w:numPr>
        <w:spacing w:after="200"/>
      </w:pPr>
      <w:r>
        <w:t>Maintain</w:t>
      </w:r>
      <w:r w:rsidR="009C6111">
        <w:t>s</w:t>
      </w:r>
      <w:r>
        <w:t xml:space="preserve"> the character of Ivy Avenue with </w:t>
      </w:r>
      <w:r w:rsidR="009C6111">
        <w:t xml:space="preserve">opportunity for </w:t>
      </w:r>
      <w:r>
        <w:t xml:space="preserve">low density residential </w:t>
      </w:r>
      <w:r w:rsidR="002F0912">
        <w:t>units along Ivy Avenue</w:t>
      </w:r>
      <w:r w:rsidR="00244811">
        <w:t xml:space="preserve"> </w:t>
      </w:r>
    </w:p>
    <w:p w:rsidR="004B259F" w:rsidRDefault="002F0912" w:rsidP="00CA4DF4">
      <w:pPr>
        <w:pStyle w:val="ListParagraph"/>
        <w:numPr>
          <w:ilvl w:val="3"/>
          <w:numId w:val="11"/>
        </w:numPr>
        <w:spacing w:after="200"/>
      </w:pPr>
      <w:r>
        <w:t>Provides g</w:t>
      </w:r>
      <w:r w:rsidR="009C6111">
        <w:t>reen space</w:t>
      </w:r>
      <w:r w:rsidR="007E4A96">
        <w:t xml:space="preserve"> along 18</w:t>
      </w:r>
      <w:r w:rsidR="007E4A96" w:rsidRPr="007E4A96">
        <w:rPr>
          <w:vertAlign w:val="superscript"/>
        </w:rPr>
        <w:t>th</w:t>
      </w:r>
      <w:r w:rsidR="007E4A96">
        <w:t xml:space="preserve"> Street across from </w:t>
      </w:r>
      <w:r w:rsidR="004B259F">
        <w:t>the House of Prayer</w:t>
      </w:r>
    </w:p>
    <w:p w:rsidR="004B259F" w:rsidRDefault="002F0912" w:rsidP="00CA4DF4">
      <w:pPr>
        <w:pStyle w:val="ListParagraph"/>
        <w:numPr>
          <w:ilvl w:val="3"/>
          <w:numId w:val="11"/>
        </w:numPr>
        <w:spacing w:after="200"/>
      </w:pPr>
      <w:r>
        <w:t>Provides n</w:t>
      </w:r>
      <w:r w:rsidR="004B259F">
        <w:t xml:space="preserve">ew intersection with new street </w:t>
      </w:r>
      <w:r w:rsidR="007E4A96">
        <w:t>located between 18</w:t>
      </w:r>
      <w:r w:rsidR="007E4A96" w:rsidRPr="007E4A96">
        <w:rPr>
          <w:vertAlign w:val="superscript"/>
        </w:rPr>
        <w:t>th</w:t>
      </w:r>
      <w:r w:rsidR="007E4A96">
        <w:t xml:space="preserve"> </w:t>
      </w:r>
      <w:r w:rsidR="004B259F">
        <w:t>and 16</w:t>
      </w:r>
      <w:r w:rsidR="004B259F" w:rsidRPr="004B259F">
        <w:rPr>
          <w:vertAlign w:val="superscript"/>
        </w:rPr>
        <w:t>th</w:t>
      </w:r>
      <w:r w:rsidR="004B259F">
        <w:t xml:space="preserve"> Street</w:t>
      </w:r>
      <w:r w:rsidR="007E4A96">
        <w:t>s</w:t>
      </w:r>
    </w:p>
    <w:p w:rsidR="00A4447D" w:rsidRDefault="00A4447D" w:rsidP="00CA4DF4">
      <w:pPr>
        <w:pStyle w:val="ListParagraph"/>
        <w:numPr>
          <w:ilvl w:val="2"/>
          <w:numId w:val="11"/>
        </w:numPr>
        <w:spacing w:after="200"/>
      </w:pPr>
      <w:r>
        <w:t>Jefferson Avenue Corridor</w:t>
      </w:r>
    </w:p>
    <w:p w:rsidR="00DF2CE6" w:rsidRDefault="00244811" w:rsidP="00CA4DF4">
      <w:pPr>
        <w:pStyle w:val="ListParagraph"/>
        <w:numPr>
          <w:ilvl w:val="3"/>
          <w:numId w:val="11"/>
        </w:numPr>
        <w:spacing w:after="200"/>
      </w:pPr>
      <w:r>
        <w:t xml:space="preserve">Character of Jefferson Avenue is different from Ivy Avenue </w:t>
      </w:r>
    </w:p>
    <w:p w:rsidR="00244811" w:rsidRDefault="00244811" w:rsidP="00CA4DF4">
      <w:pPr>
        <w:pStyle w:val="ListParagraph"/>
        <w:numPr>
          <w:ilvl w:val="3"/>
          <w:numId w:val="11"/>
        </w:numPr>
        <w:spacing w:after="200"/>
      </w:pPr>
      <w:r>
        <w:t xml:space="preserve">Jefferson Avenue </w:t>
      </w:r>
      <w:r w:rsidR="00DF2CE6">
        <w:t xml:space="preserve">can support </w:t>
      </w:r>
      <w:r>
        <w:t>high density and mixed use</w:t>
      </w:r>
      <w:r w:rsidR="00DF2CE6">
        <w:t xml:space="preserve"> opportunities</w:t>
      </w:r>
      <w:r>
        <w:t xml:space="preserve"> </w:t>
      </w:r>
    </w:p>
    <w:p w:rsidR="00A46946" w:rsidRDefault="00244811" w:rsidP="00440E4D">
      <w:pPr>
        <w:pStyle w:val="ListParagraph"/>
        <w:numPr>
          <w:ilvl w:val="3"/>
          <w:numId w:val="11"/>
        </w:numPr>
        <w:spacing w:after="200"/>
      </w:pPr>
      <w:r>
        <w:t>28</w:t>
      </w:r>
      <w:r w:rsidRPr="00244811">
        <w:rPr>
          <w:vertAlign w:val="superscript"/>
        </w:rPr>
        <w:t>th</w:t>
      </w:r>
      <w:r>
        <w:t xml:space="preserve"> Street </w:t>
      </w:r>
      <w:r w:rsidR="00DF2CE6">
        <w:t xml:space="preserve">becomes </w:t>
      </w:r>
      <w:r>
        <w:t>the connection to the housi</w:t>
      </w:r>
      <w:r w:rsidR="00DF2CE6">
        <w:t>ng outside of the CN</w:t>
      </w:r>
    </w:p>
    <w:p w:rsidR="00A46946" w:rsidRDefault="00A46946" w:rsidP="00CA4DF4">
      <w:pPr>
        <w:pStyle w:val="ListParagraph"/>
        <w:numPr>
          <w:ilvl w:val="2"/>
          <w:numId w:val="11"/>
        </w:numPr>
        <w:spacing w:after="200"/>
      </w:pPr>
      <w:r>
        <w:t>Homeownership</w:t>
      </w:r>
    </w:p>
    <w:p w:rsidR="00A46946" w:rsidRDefault="00A46946" w:rsidP="00CA4DF4">
      <w:pPr>
        <w:pStyle w:val="ListParagraph"/>
        <w:numPr>
          <w:ilvl w:val="3"/>
          <w:numId w:val="11"/>
        </w:numPr>
        <w:spacing w:after="200"/>
      </w:pPr>
      <w:r>
        <w:t>Area bounded by Ivy, Madison, and Marshall Avenues between 16</w:t>
      </w:r>
      <w:r w:rsidRPr="00A46946">
        <w:rPr>
          <w:vertAlign w:val="superscript"/>
        </w:rPr>
        <w:t>th</w:t>
      </w:r>
      <w:r>
        <w:t xml:space="preserve"> Street and Hampton Avenue</w:t>
      </w:r>
    </w:p>
    <w:p w:rsidR="00440E4D" w:rsidRDefault="00A46946" w:rsidP="00CA4DF4">
      <w:pPr>
        <w:pStyle w:val="ListParagraph"/>
        <w:numPr>
          <w:ilvl w:val="3"/>
          <w:numId w:val="11"/>
        </w:numPr>
        <w:spacing w:after="200"/>
      </w:pPr>
      <w:r>
        <w:t>20 scattered homeownership sites</w:t>
      </w:r>
    </w:p>
    <w:p w:rsidR="00AD0397" w:rsidRDefault="00440E4D" w:rsidP="00CA4DF4">
      <w:pPr>
        <w:pStyle w:val="ListParagraph"/>
        <w:numPr>
          <w:ilvl w:val="3"/>
          <w:numId w:val="11"/>
        </w:numPr>
        <w:spacing w:after="200"/>
      </w:pPr>
      <w:r>
        <w:t xml:space="preserve">Sites are </w:t>
      </w:r>
      <w:r w:rsidR="00AD0397">
        <w:t xml:space="preserve">strategically </w:t>
      </w:r>
      <w:r>
        <w:t xml:space="preserve">located in areas </w:t>
      </w:r>
      <w:r w:rsidR="002F0912">
        <w:t xml:space="preserve">of </w:t>
      </w:r>
      <w:r w:rsidR="00AD0397">
        <w:t>blight and distress</w:t>
      </w:r>
    </w:p>
    <w:p w:rsidR="00440E4D" w:rsidRDefault="00440E4D" w:rsidP="00440E4D">
      <w:pPr>
        <w:pStyle w:val="ListParagraph"/>
        <w:numPr>
          <w:ilvl w:val="2"/>
          <w:numId w:val="11"/>
        </w:numPr>
        <w:spacing w:after="200"/>
      </w:pPr>
      <w:r>
        <w:t>Downtown (Outside CN)</w:t>
      </w:r>
    </w:p>
    <w:p w:rsidR="00CF6072" w:rsidRDefault="00CF6072" w:rsidP="00CF6072">
      <w:pPr>
        <w:pStyle w:val="ListParagraph"/>
        <w:numPr>
          <w:ilvl w:val="3"/>
          <w:numId w:val="11"/>
        </w:numPr>
      </w:pPr>
      <w:r>
        <w:t xml:space="preserve">Two sites: </w:t>
      </w:r>
    </w:p>
    <w:p w:rsidR="00CF6072" w:rsidRDefault="00CF6072" w:rsidP="00CF6072">
      <w:pPr>
        <w:pStyle w:val="ListParagraph"/>
        <w:numPr>
          <w:ilvl w:val="4"/>
          <w:numId w:val="11"/>
        </w:numPr>
      </w:pPr>
      <w:r>
        <w:t>1) 28</w:t>
      </w:r>
      <w:r w:rsidRPr="00FF2D6D">
        <w:rPr>
          <w:vertAlign w:val="superscript"/>
        </w:rPr>
        <w:t>th</w:t>
      </w:r>
      <w:r>
        <w:t xml:space="preserve"> Street between West &amp; Washington Avenues </w:t>
      </w:r>
    </w:p>
    <w:p w:rsidR="00CF6072" w:rsidRDefault="00CF6072" w:rsidP="00CF6072">
      <w:pPr>
        <w:pStyle w:val="ListParagraph"/>
        <w:numPr>
          <w:ilvl w:val="4"/>
          <w:numId w:val="11"/>
        </w:numPr>
      </w:pPr>
      <w:r>
        <w:t>2)</w:t>
      </w:r>
      <w:r w:rsidR="002F0912">
        <w:t xml:space="preserve"> </w:t>
      </w:r>
      <w:r>
        <w:t>frontage along Washington Avenue between 28</w:t>
      </w:r>
      <w:r w:rsidRPr="00FF2D6D">
        <w:rPr>
          <w:vertAlign w:val="superscript"/>
        </w:rPr>
        <w:t>th</w:t>
      </w:r>
      <w:r>
        <w:t xml:space="preserve"> &amp; 29</w:t>
      </w:r>
      <w:r w:rsidRPr="00FF2D6D">
        <w:rPr>
          <w:vertAlign w:val="superscript"/>
        </w:rPr>
        <w:t>th</w:t>
      </w:r>
      <w:r>
        <w:t xml:space="preserve"> Streets</w:t>
      </w:r>
    </w:p>
    <w:p w:rsidR="00440E4D" w:rsidRDefault="00440E4D" w:rsidP="00440E4D">
      <w:pPr>
        <w:pStyle w:val="ListParagraph"/>
        <w:numPr>
          <w:ilvl w:val="3"/>
          <w:numId w:val="11"/>
        </w:numPr>
        <w:spacing w:after="200"/>
      </w:pPr>
      <w:r>
        <w:t xml:space="preserve">Site not far from CN; has low poverty; and no concentration of minority population </w:t>
      </w:r>
    </w:p>
    <w:p w:rsidR="00440E4D" w:rsidRDefault="00440E4D" w:rsidP="00440E4D">
      <w:pPr>
        <w:pStyle w:val="ListParagraph"/>
        <w:numPr>
          <w:ilvl w:val="3"/>
          <w:numId w:val="11"/>
        </w:numPr>
        <w:spacing w:after="200"/>
      </w:pPr>
      <w:r>
        <w:t>Site still provides residents with the connection to the CN</w:t>
      </w:r>
      <w:r w:rsidR="002F0912">
        <w:t xml:space="preserve"> via 28</w:t>
      </w:r>
      <w:r w:rsidR="002F0912" w:rsidRPr="002F0912">
        <w:rPr>
          <w:vertAlign w:val="superscript"/>
        </w:rPr>
        <w:t>th</w:t>
      </w:r>
      <w:r w:rsidR="002F0912">
        <w:t xml:space="preserve"> Street</w:t>
      </w:r>
    </w:p>
    <w:p w:rsidR="00440E4D" w:rsidRDefault="00440E4D" w:rsidP="00440E4D">
      <w:pPr>
        <w:pStyle w:val="ListParagraph"/>
        <w:numPr>
          <w:ilvl w:val="3"/>
          <w:numId w:val="11"/>
        </w:numPr>
        <w:spacing w:after="200"/>
      </w:pPr>
      <w:r>
        <w:t>Opportunity to aggregate more housing downtown</w:t>
      </w:r>
    </w:p>
    <w:p w:rsidR="009571D3" w:rsidRDefault="00EA4DB7" w:rsidP="00440E4D">
      <w:pPr>
        <w:pStyle w:val="Heading2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143A70">
        <w:rPr>
          <w:rFonts w:eastAsiaTheme="minorEastAsia"/>
        </w:rPr>
        <w:t xml:space="preserve">Proposed </w:t>
      </w:r>
      <w:r w:rsidR="00182FE5">
        <w:rPr>
          <w:rFonts w:eastAsiaTheme="minorEastAsia"/>
        </w:rPr>
        <w:t xml:space="preserve">Housing </w:t>
      </w:r>
      <w:r w:rsidR="00AD0397">
        <w:rPr>
          <w:rFonts w:eastAsiaTheme="minorEastAsia"/>
        </w:rPr>
        <w:t xml:space="preserve">Program </w:t>
      </w:r>
      <w:r w:rsidR="00182FE5">
        <w:rPr>
          <w:rFonts w:eastAsiaTheme="minorEastAsia"/>
        </w:rPr>
        <w:t>Mix</w:t>
      </w:r>
    </w:p>
    <w:p w:rsidR="00440E4D" w:rsidRDefault="00AD0397" w:rsidP="00440E4D">
      <w:pPr>
        <w:pStyle w:val="Heading2"/>
        <w:numPr>
          <w:ilvl w:val="0"/>
          <w:numId w:val="17"/>
        </w:numPr>
        <w:spacing w:before="0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Housing mix for the major components of the housing program:</w:t>
      </w:r>
    </w:p>
    <w:p w:rsidR="009571D3" w:rsidRPr="00440E4D" w:rsidRDefault="00AD0397" w:rsidP="00440E4D">
      <w:pPr>
        <w:pStyle w:val="Heading2"/>
        <w:numPr>
          <w:ilvl w:val="1"/>
          <w:numId w:val="17"/>
        </w:numPr>
        <w:spacing w:before="0"/>
        <w:rPr>
          <w:rFonts w:ascii="Arial Narrow" w:hAnsi="Arial Narrow"/>
          <w:b w:val="0"/>
          <w:color w:val="auto"/>
          <w:sz w:val="24"/>
        </w:rPr>
      </w:pPr>
      <w:r w:rsidRPr="00440E4D">
        <w:rPr>
          <w:rFonts w:ascii="Arial Narrow" w:hAnsi="Arial Narrow"/>
          <w:b w:val="0"/>
          <w:color w:val="auto"/>
          <w:sz w:val="24"/>
        </w:rPr>
        <w:t>Ridley Place Site</w:t>
      </w:r>
    </w:p>
    <w:p w:rsidR="00AD0397" w:rsidRDefault="00440E4D" w:rsidP="00AD0397">
      <w:pPr>
        <w:pStyle w:val="ListParagraph"/>
        <w:numPr>
          <w:ilvl w:val="1"/>
          <w:numId w:val="16"/>
        </w:numPr>
      </w:pPr>
      <w:r>
        <w:t>R</w:t>
      </w:r>
      <w:r w:rsidR="00AD0397">
        <w:t>educ</w:t>
      </w:r>
      <w:r>
        <w:t>tion in</w:t>
      </w:r>
      <w:r w:rsidR="00AD0397">
        <w:t xml:space="preserve"> density on site to 219 units</w:t>
      </w:r>
      <w:r>
        <w:t xml:space="preserve"> from the current 259 units</w:t>
      </w:r>
    </w:p>
    <w:p w:rsidR="00AD0397" w:rsidRDefault="00AD0397" w:rsidP="00AD0397">
      <w:pPr>
        <w:pStyle w:val="ListParagraph"/>
        <w:numPr>
          <w:ilvl w:val="1"/>
          <w:numId w:val="16"/>
        </w:numPr>
      </w:pPr>
      <w:r>
        <w:lastRenderedPageBreak/>
        <w:t xml:space="preserve">20 </w:t>
      </w:r>
      <w:r w:rsidR="002F0912">
        <w:t xml:space="preserve">homeownership </w:t>
      </w:r>
      <w:r>
        <w:t xml:space="preserve">units </w:t>
      </w:r>
      <w:r w:rsidR="00CF6072">
        <w:t>on Ridley Place site</w:t>
      </w:r>
    </w:p>
    <w:p w:rsidR="004C7FAA" w:rsidRDefault="00CF6072" w:rsidP="00AD0397">
      <w:pPr>
        <w:pStyle w:val="ListParagraph"/>
        <w:numPr>
          <w:ilvl w:val="1"/>
          <w:numId w:val="16"/>
        </w:numPr>
      </w:pPr>
      <w:r>
        <w:t>U</w:t>
      </w:r>
      <w:r w:rsidR="004C7FAA">
        <w:t>p to 10,050 square feet of ground-floor, non-residential space along Jefferson Avenue in mixed-use, multi-family buildings</w:t>
      </w:r>
    </w:p>
    <w:p w:rsidR="00AF2DAA" w:rsidRDefault="00AF2DAA" w:rsidP="00AF2DAA">
      <w:pPr>
        <w:pStyle w:val="ListParagraph"/>
        <w:numPr>
          <w:ilvl w:val="0"/>
          <w:numId w:val="16"/>
        </w:numPr>
      </w:pPr>
      <w:r>
        <w:t>Jefferson Avenue Corridor</w:t>
      </w:r>
    </w:p>
    <w:p w:rsidR="00AF2DAA" w:rsidRDefault="00AF2DAA" w:rsidP="00AF2DAA">
      <w:pPr>
        <w:pStyle w:val="ListParagraph"/>
        <w:numPr>
          <w:ilvl w:val="1"/>
          <w:numId w:val="16"/>
        </w:numPr>
      </w:pPr>
      <w:r>
        <w:t>90 rental units (multi-family &amp; duplex)</w:t>
      </w:r>
    </w:p>
    <w:p w:rsidR="004C7FAA" w:rsidRDefault="004C7FAA" w:rsidP="00AF2DAA">
      <w:pPr>
        <w:pStyle w:val="ListParagraph"/>
        <w:numPr>
          <w:ilvl w:val="1"/>
          <w:numId w:val="16"/>
        </w:numPr>
      </w:pPr>
      <w:r>
        <w:t>35,200 square feet of ground-floor, non-residential space in mixed-use, multi-family buildings</w:t>
      </w:r>
    </w:p>
    <w:p w:rsidR="00AF2DAA" w:rsidRDefault="00AF2DAA" w:rsidP="00AF2DAA">
      <w:pPr>
        <w:pStyle w:val="ListParagraph"/>
        <w:numPr>
          <w:ilvl w:val="0"/>
          <w:numId w:val="16"/>
        </w:numPr>
      </w:pPr>
      <w:r>
        <w:t>Downtown (Outside C</w:t>
      </w:r>
      <w:r w:rsidR="00CF6072">
        <w:t>N</w:t>
      </w:r>
      <w:r>
        <w:t>)</w:t>
      </w:r>
    </w:p>
    <w:p w:rsidR="00AF2DAA" w:rsidRDefault="00AF2DAA" w:rsidP="00AF2DAA">
      <w:pPr>
        <w:pStyle w:val="ListParagraph"/>
        <w:numPr>
          <w:ilvl w:val="1"/>
          <w:numId w:val="16"/>
        </w:numPr>
      </w:pPr>
      <w:r>
        <w:t>105 rental units</w:t>
      </w:r>
    </w:p>
    <w:p w:rsidR="006529A4" w:rsidRDefault="00AF2DAA" w:rsidP="006529A4">
      <w:pPr>
        <w:pStyle w:val="ListParagraph"/>
        <w:numPr>
          <w:ilvl w:val="1"/>
          <w:numId w:val="16"/>
        </w:numPr>
      </w:pPr>
      <w:r>
        <w:t xml:space="preserve">86 of the 105 units </w:t>
      </w:r>
      <w:r w:rsidR="00CF6072">
        <w:t>are</w:t>
      </w:r>
      <w:r>
        <w:t xml:space="preserve"> tenant based vouchers</w:t>
      </w:r>
    </w:p>
    <w:p w:rsidR="00AF2DAA" w:rsidRDefault="00AF2DAA" w:rsidP="00AF2DAA">
      <w:pPr>
        <w:pStyle w:val="ListParagraph"/>
        <w:numPr>
          <w:ilvl w:val="0"/>
          <w:numId w:val="16"/>
        </w:numPr>
      </w:pPr>
      <w:r>
        <w:t>Homeownership</w:t>
      </w:r>
    </w:p>
    <w:p w:rsidR="00AF2DAA" w:rsidRPr="00AD0397" w:rsidRDefault="00AF2DAA" w:rsidP="00AF2DAA">
      <w:pPr>
        <w:pStyle w:val="ListParagraph"/>
        <w:numPr>
          <w:ilvl w:val="1"/>
          <w:numId w:val="16"/>
        </w:numPr>
      </w:pPr>
      <w:r>
        <w:t>20 units (scattered sites)</w:t>
      </w:r>
    </w:p>
    <w:p w:rsidR="00D2392B" w:rsidRDefault="00182FE5" w:rsidP="00D2392B">
      <w:pPr>
        <w:pStyle w:val="Heading2"/>
        <w:rPr>
          <w:rFonts w:eastAsiaTheme="minorEastAsia"/>
        </w:rPr>
      </w:pPr>
      <w:r>
        <w:rPr>
          <w:rFonts w:eastAsiaTheme="minorEastAsia"/>
        </w:rPr>
        <w:t>5</w:t>
      </w:r>
      <w:r w:rsidR="00D2392B">
        <w:rPr>
          <w:rFonts w:eastAsiaTheme="minorEastAsia"/>
        </w:rPr>
        <w:t>.0</w:t>
      </w:r>
      <w:r w:rsidR="00D2392B">
        <w:rPr>
          <w:rFonts w:eastAsiaTheme="minorEastAsia"/>
        </w:rPr>
        <w:tab/>
      </w:r>
      <w:r>
        <w:rPr>
          <w:rFonts w:eastAsiaTheme="minorEastAsia"/>
        </w:rPr>
        <w:t>Visual Preference Survey</w:t>
      </w:r>
    </w:p>
    <w:p w:rsidR="00B36451" w:rsidRPr="00B36451" w:rsidRDefault="00B36451" w:rsidP="00B36451">
      <w:r>
        <w:t xml:space="preserve">Task force reviewed and discussed what </w:t>
      </w:r>
      <w:r w:rsidR="00EA4DB7">
        <w:t>information should</w:t>
      </w:r>
      <w:r w:rsidR="00CF6072">
        <w:t xml:space="preserve"> </w:t>
      </w:r>
      <w:r>
        <w:t xml:space="preserve">be included as part of the visual preference survey that will be given during the Community Workshop on September 28, 2017. </w:t>
      </w:r>
      <w:r w:rsidR="0060626A">
        <w:t>The survey will include images o</w:t>
      </w:r>
      <w:r w:rsidR="00EA4DB7">
        <w:t>f</w:t>
      </w:r>
      <w:r w:rsidR="0060626A">
        <w:t xml:space="preserve"> architecture, green design, active recreation, passive recreation, </w:t>
      </w:r>
      <w:r w:rsidR="00EA4DB7">
        <w:t xml:space="preserve">and </w:t>
      </w:r>
      <w:r w:rsidR="0060626A">
        <w:t>non-residential buildings</w:t>
      </w:r>
      <w:r w:rsidR="00EA4DB7">
        <w:t>.</w:t>
      </w:r>
    </w:p>
    <w:p w:rsidR="00182FE5" w:rsidRPr="00182FE5" w:rsidRDefault="00182FE5" w:rsidP="00182FE5">
      <w:pPr>
        <w:pStyle w:val="Heading2"/>
      </w:pPr>
      <w:r>
        <w:rPr>
          <w:rFonts w:eastAsiaTheme="minorEastAsia"/>
        </w:rPr>
        <w:t>6.0</w:t>
      </w:r>
      <w:r>
        <w:rPr>
          <w:rFonts w:eastAsiaTheme="minorEastAsia"/>
        </w:rPr>
        <w:tab/>
      </w:r>
      <w:r w:rsidR="00A73183">
        <w:rPr>
          <w:rFonts w:eastAsiaTheme="minorEastAsia"/>
        </w:rPr>
        <w:t>Next Steps/</w:t>
      </w:r>
      <w:r>
        <w:rPr>
          <w:rFonts w:eastAsiaTheme="minorEastAsia"/>
        </w:rPr>
        <w:t>Questions</w:t>
      </w:r>
    </w:p>
    <w:p w:rsidR="00CE1495" w:rsidRDefault="006529A4" w:rsidP="00CE1495">
      <w:r>
        <w:t>Next Steps:</w:t>
      </w:r>
    </w:p>
    <w:p w:rsidR="00CE1495" w:rsidRDefault="00EA4DB7" w:rsidP="00EA4DB7">
      <w:pPr>
        <w:pStyle w:val="ListParagraph"/>
        <w:numPr>
          <w:ilvl w:val="0"/>
          <w:numId w:val="19"/>
        </w:numPr>
      </w:pPr>
      <w:r>
        <w:t>Determine what will be the f</w:t>
      </w:r>
      <w:r w:rsidR="00CE1495">
        <w:t xml:space="preserve">irst phase of project </w:t>
      </w:r>
      <w:r>
        <w:t xml:space="preserve">(It was suggested that it </w:t>
      </w:r>
      <w:r w:rsidR="00CE1495">
        <w:t>could be the area south of 16</w:t>
      </w:r>
      <w:r w:rsidR="00CE1495" w:rsidRPr="00EA4DB7">
        <w:rPr>
          <w:vertAlign w:val="superscript"/>
        </w:rPr>
        <w:t>th</w:t>
      </w:r>
      <w:r w:rsidR="00CE1495">
        <w:t xml:space="preserve"> Street which </w:t>
      </w:r>
      <w:r>
        <w:t xml:space="preserve">accounts for </w:t>
      </w:r>
      <w:r w:rsidR="00CE1495">
        <w:t>82 units</w:t>
      </w:r>
      <w:r>
        <w:t>)</w:t>
      </w:r>
      <w:r w:rsidR="00CE1495">
        <w:t xml:space="preserve"> </w:t>
      </w:r>
    </w:p>
    <w:p w:rsidR="00A73183" w:rsidRDefault="00EA4DB7" w:rsidP="00EA4DB7">
      <w:pPr>
        <w:pStyle w:val="ListParagraph"/>
        <w:numPr>
          <w:ilvl w:val="0"/>
          <w:numId w:val="19"/>
        </w:numPr>
      </w:pPr>
      <w:r>
        <w:t xml:space="preserve">Contact HUD for further </w:t>
      </w:r>
      <w:r w:rsidR="00CE1495">
        <w:t xml:space="preserve">clarification regarding tenant </w:t>
      </w:r>
      <w:r w:rsidR="00A73183">
        <w:t>protection vouchers</w:t>
      </w:r>
      <w:r>
        <w:t xml:space="preserve"> (WRT)</w:t>
      </w:r>
    </w:p>
    <w:p w:rsidR="00A73183" w:rsidRDefault="008C532B" w:rsidP="00A73183">
      <w:pPr>
        <w:pStyle w:val="ListParagraph"/>
        <w:numPr>
          <w:ilvl w:val="0"/>
          <w:numId w:val="19"/>
        </w:numPr>
      </w:pPr>
      <w:r>
        <w:t xml:space="preserve">NNRHA to </w:t>
      </w:r>
      <w:r w:rsidR="00EA4DB7">
        <w:t xml:space="preserve">verify all property located in Downtown is under Housing Authority control </w:t>
      </w:r>
    </w:p>
    <w:p w:rsidR="00EA4DB7" w:rsidRDefault="00EA4DB7" w:rsidP="00EA4DB7">
      <w:pPr>
        <w:pStyle w:val="ListParagraph"/>
        <w:numPr>
          <w:ilvl w:val="0"/>
          <w:numId w:val="0"/>
        </w:numPr>
        <w:ind w:left="720"/>
      </w:pPr>
    </w:p>
    <w:p w:rsidR="00A73183" w:rsidRDefault="00A73183" w:rsidP="00A73183">
      <w:pPr>
        <w:pStyle w:val="Heading2"/>
        <w:spacing w:before="0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The meeting adjourned at 5:30 p.m.</w:t>
      </w:r>
    </w:p>
    <w:sectPr w:rsidR="00A73183" w:rsidSect="008A6181">
      <w:headerReference w:type="default" r:id="rId13"/>
      <w:footerReference w:type="default" r:id="rId14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2" w:rsidRDefault="00366292" w:rsidP="00444F83">
      <w:pPr>
        <w:spacing w:line="240" w:lineRule="auto"/>
      </w:pPr>
      <w:r>
        <w:separator/>
      </w:r>
    </w:p>
  </w:endnote>
  <w:endnote w:type="continuationSeparator" w:id="0">
    <w:p w:rsidR="00366292" w:rsidRDefault="00366292" w:rsidP="00444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cumin Pro Condensed Semibold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07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4F83" w:rsidRDefault="00227775" w:rsidP="008A6181">
            <w:pPr>
              <w:pStyle w:val="Footer"/>
              <w:tabs>
                <w:tab w:val="left" w:pos="0"/>
              </w:tabs>
            </w:pPr>
            <w:r w:rsidRPr="00227775">
              <w:rPr>
                <w:rFonts w:ascii="Franklin Gothic Book" w:hAnsi="Franklin Gothic Book"/>
                <w:sz w:val="20"/>
                <w:szCs w:val="20"/>
              </w:rPr>
              <w:t>Housing Task Force</w:t>
            </w:r>
            <w:r>
              <w:t xml:space="preserve"> </w:t>
            </w:r>
            <w:r w:rsidR="008A6181" w:rsidRPr="008A6181">
              <w:rPr>
                <w:rFonts w:ascii="Franklin Gothic Book" w:hAnsi="Franklin Gothic Book"/>
                <w:sz w:val="20"/>
                <w:szCs w:val="20"/>
              </w:rPr>
              <w:t>Meeting #</w:t>
            </w:r>
            <w:r w:rsidR="00344F3F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="008A6181" w:rsidRPr="008A6181">
              <w:rPr>
                <w:sz w:val="20"/>
                <w:szCs w:val="20"/>
              </w:rPr>
              <w:tab/>
            </w:r>
            <w:r w:rsidR="008A6181" w:rsidRPr="008A6181">
              <w:rPr>
                <w:sz w:val="20"/>
                <w:szCs w:val="20"/>
              </w:rPr>
              <w:tab/>
            </w:r>
            <w:r w:rsidR="00444F83" w:rsidRPr="008A6181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PAGE </w:instrTex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143A7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2</w: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="00444F83" w:rsidRPr="008A6181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 xml:space="preserve"> NUMPAGES  </w:instrTex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143A70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4</w:t>
            </w:r>
            <w:r w:rsidR="00444F83" w:rsidRPr="008A6181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44F83" w:rsidRDefault="00444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2" w:rsidRDefault="00366292" w:rsidP="00444F83">
      <w:pPr>
        <w:spacing w:line="240" w:lineRule="auto"/>
      </w:pPr>
      <w:r>
        <w:separator/>
      </w:r>
    </w:p>
  </w:footnote>
  <w:footnote w:type="continuationSeparator" w:id="0">
    <w:p w:rsidR="00366292" w:rsidRDefault="00366292" w:rsidP="00444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81" w:rsidRDefault="008A6181" w:rsidP="008A6181">
    <w:pPr>
      <w:pStyle w:val="NormalWeb"/>
      <w:spacing w:before="0" w:beforeAutospacing="0" w:after="0" w:afterAutospacing="0"/>
      <w:rPr>
        <w:rFonts w:ascii="Acumin Pro Condensed Semibold" w:hAnsi="Acumin Pro Condensed Semibold" w:cstheme="minorBidi"/>
        <w:b/>
        <w:kern w:val="24"/>
        <w:sz w:val="28"/>
        <w:szCs w:val="4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B82E3AB" wp14:editId="7764FC45">
          <wp:simplePos x="0" y="0"/>
          <wp:positionH relativeFrom="column">
            <wp:posOffset>5201392</wp:posOffset>
          </wp:positionH>
          <wp:positionV relativeFrom="paragraph">
            <wp:posOffset>-249382</wp:posOffset>
          </wp:positionV>
          <wp:extent cx="1365662" cy="61212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2" cy="61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181" w:rsidRDefault="008A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62"/>
    <w:multiLevelType w:val="hybridMultilevel"/>
    <w:tmpl w:val="FE0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581"/>
    <w:multiLevelType w:val="hybridMultilevel"/>
    <w:tmpl w:val="08B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A5E"/>
    <w:multiLevelType w:val="hybridMultilevel"/>
    <w:tmpl w:val="E6C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4C7B"/>
    <w:multiLevelType w:val="hybridMultilevel"/>
    <w:tmpl w:val="887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950"/>
    <w:multiLevelType w:val="hybridMultilevel"/>
    <w:tmpl w:val="CC3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D6BB2"/>
    <w:multiLevelType w:val="hybridMultilevel"/>
    <w:tmpl w:val="8F5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417A1"/>
    <w:multiLevelType w:val="hybridMultilevel"/>
    <w:tmpl w:val="F180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94028"/>
    <w:multiLevelType w:val="multilevel"/>
    <w:tmpl w:val="143A74C2"/>
    <w:lvl w:ilvl="0">
      <w:start w:val="4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4F06AAC"/>
    <w:multiLevelType w:val="hybridMultilevel"/>
    <w:tmpl w:val="533C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B48A4"/>
    <w:multiLevelType w:val="hybridMultilevel"/>
    <w:tmpl w:val="DF3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85FF5"/>
    <w:multiLevelType w:val="hybridMultilevel"/>
    <w:tmpl w:val="2DA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5CCC"/>
    <w:multiLevelType w:val="hybridMultilevel"/>
    <w:tmpl w:val="28B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0EA1"/>
    <w:multiLevelType w:val="hybridMultilevel"/>
    <w:tmpl w:val="C6B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D1622"/>
    <w:multiLevelType w:val="hybridMultilevel"/>
    <w:tmpl w:val="923A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26275"/>
    <w:multiLevelType w:val="hybridMultilevel"/>
    <w:tmpl w:val="BE4E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2F54"/>
    <w:multiLevelType w:val="hybridMultilevel"/>
    <w:tmpl w:val="B6821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F07E78"/>
    <w:multiLevelType w:val="hybridMultilevel"/>
    <w:tmpl w:val="08C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31635"/>
    <w:multiLevelType w:val="hybridMultilevel"/>
    <w:tmpl w:val="5DE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641DC"/>
    <w:multiLevelType w:val="hybridMultilevel"/>
    <w:tmpl w:val="ACA81584"/>
    <w:lvl w:ilvl="0" w:tplc="C6065D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17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96"/>
    <w:rsid w:val="00002BBC"/>
    <w:rsid w:val="00033020"/>
    <w:rsid w:val="0003416B"/>
    <w:rsid w:val="00044B65"/>
    <w:rsid w:val="00055D95"/>
    <w:rsid w:val="000620B6"/>
    <w:rsid w:val="000624F3"/>
    <w:rsid w:val="00064908"/>
    <w:rsid w:val="00073D29"/>
    <w:rsid w:val="00082194"/>
    <w:rsid w:val="00095199"/>
    <w:rsid w:val="000B78ED"/>
    <w:rsid w:val="000C2914"/>
    <w:rsid w:val="000D65BE"/>
    <w:rsid w:val="000F2DFB"/>
    <w:rsid w:val="000F660D"/>
    <w:rsid w:val="001165C9"/>
    <w:rsid w:val="001171F9"/>
    <w:rsid w:val="00121232"/>
    <w:rsid w:val="00143A70"/>
    <w:rsid w:val="00165CD0"/>
    <w:rsid w:val="0017420C"/>
    <w:rsid w:val="00175525"/>
    <w:rsid w:val="00182FE5"/>
    <w:rsid w:val="001D0F20"/>
    <w:rsid w:val="001D3F7F"/>
    <w:rsid w:val="001D6347"/>
    <w:rsid w:val="001F4827"/>
    <w:rsid w:val="00207476"/>
    <w:rsid w:val="0021043A"/>
    <w:rsid w:val="00217C87"/>
    <w:rsid w:val="00227775"/>
    <w:rsid w:val="00237CCE"/>
    <w:rsid w:val="0024168C"/>
    <w:rsid w:val="00244811"/>
    <w:rsid w:val="0025398F"/>
    <w:rsid w:val="00267CFF"/>
    <w:rsid w:val="00273ECD"/>
    <w:rsid w:val="002A29E8"/>
    <w:rsid w:val="002C27D4"/>
    <w:rsid w:val="002C50C1"/>
    <w:rsid w:val="002C64AA"/>
    <w:rsid w:val="002D07BF"/>
    <w:rsid w:val="002E3960"/>
    <w:rsid w:val="002E49DC"/>
    <w:rsid w:val="002F0912"/>
    <w:rsid w:val="002F4075"/>
    <w:rsid w:val="002F4C8E"/>
    <w:rsid w:val="00307C37"/>
    <w:rsid w:val="0031103B"/>
    <w:rsid w:val="00322298"/>
    <w:rsid w:val="0032254B"/>
    <w:rsid w:val="00326900"/>
    <w:rsid w:val="00327953"/>
    <w:rsid w:val="00344D25"/>
    <w:rsid w:val="00344F3F"/>
    <w:rsid w:val="0035397E"/>
    <w:rsid w:val="00357DAD"/>
    <w:rsid w:val="00365479"/>
    <w:rsid w:val="00366292"/>
    <w:rsid w:val="00366F39"/>
    <w:rsid w:val="00383D5C"/>
    <w:rsid w:val="0038494B"/>
    <w:rsid w:val="00394FA3"/>
    <w:rsid w:val="003A40A4"/>
    <w:rsid w:val="003B3441"/>
    <w:rsid w:val="003C6F2E"/>
    <w:rsid w:val="003E21FA"/>
    <w:rsid w:val="0040310D"/>
    <w:rsid w:val="004126AB"/>
    <w:rsid w:val="00424B5E"/>
    <w:rsid w:val="0043108B"/>
    <w:rsid w:val="004353AF"/>
    <w:rsid w:val="00440E4D"/>
    <w:rsid w:val="004430B8"/>
    <w:rsid w:val="00444F83"/>
    <w:rsid w:val="0045170C"/>
    <w:rsid w:val="00466004"/>
    <w:rsid w:val="00471A31"/>
    <w:rsid w:val="00472BE4"/>
    <w:rsid w:val="0047588F"/>
    <w:rsid w:val="004842AE"/>
    <w:rsid w:val="00484F91"/>
    <w:rsid w:val="004B259F"/>
    <w:rsid w:val="004B5E41"/>
    <w:rsid w:val="004C2DA7"/>
    <w:rsid w:val="004C7FAA"/>
    <w:rsid w:val="005002BA"/>
    <w:rsid w:val="005136B2"/>
    <w:rsid w:val="00550F24"/>
    <w:rsid w:val="00552C99"/>
    <w:rsid w:val="00562A79"/>
    <w:rsid w:val="00571AD9"/>
    <w:rsid w:val="005773EF"/>
    <w:rsid w:val="0058516B"/>
    <w:rsid w:val="00597494"/>
    <w:rsid w:val="005B01CA"/>
    <w:rsid w:val="005B2EC5"/>
    <w:rsid w:val="005C7D6C"/>
    <w:rsid w:val="005E3586"/>
    <w:rsid w:val="005E7B12"/>
    <w:rsid w:val="005F04DA"/>
    <w:rsid w:val="005F4294"/>
    <w:rsid w:val="005F42F0"/>
    <w:rsid w:val="00602A59"/>
    <w:rsid w:val="0060626A"/>
    <w:rsid w:val="00607D23"/>
    <w:rsid w:val="00611E91"/>
    <w:rsid w:val="0061634D"/>
    <w:rsid w:val="00624580"/>
    <w:rsid w:val="00627FE5"/>
    <w:rsid w:val="00636AD2"/>
    <w:rsid w:val="00650A07"/>
    <w:rsid w:val="006529A4"/>
    <w:rsid w:val="00653198"/>
    <w:rsid w:val="00663ACF"/>
    <w:rsid w:val="006673BC"/>
    <w:rsid w:val="00672168"/>
    <w:rsid w:val="006A7F5E"/>
    <w:rsid w:val="006B7896"/>
    <w:rsid w:val="006D7A2A"/>
    <w:rsid w:val="006D7C01"/>
    <w:rsid w:val="006D7E97"/>
    <w:rsid w:val="006F5003"/>
    <w:rsid w:val="006F5277"/>
    <w:rsid w:val="006F6C3E"/>
    <w:rsid w:val="00704618"/>
    <w:rsid w:val="00713CD9"/>
    <w:rsid w:val="007228A4"/>
    <w:rsid w:val="00736DF7"/>
    <w:rsid w:val="007911F5"/>
    <w:rsid w:val="007A129C"/>
    <w:rsid w:val="007A32C7"/>
    <w:rsid w:val="007A4017"/>
    <w:rsid w:val="007A41B9"/>
    <w:rsid w:val="007B0A33"/>
    <w:rsid w:val="007B3C94"/>
    <w:rsid w:val="007B626F"/>
    <w:rsid w:val="007E09AB"/>
    <w:rsid w:val="007E4A96"/>
    <w:rsid w:val="007E717A"/>
    <w:rsid w:val="00802958"/>
    <w:rsid w:val="00812E0B"/>
    <w:rsid w:val="00837AFD"/>
    <w:rsid w:val="00844D04"/>
    <w:rsid w:val="008479A4"/>
    <w:rsid w:val="00853543"/>
    <w:rsid w:val="0085398F"/>
    <w:rsid w:val="00863F3F"/>
    <w:rsid w:val="0087113F"/>
    <w:rsid w:val="0087404D"/>
    <w:rsid w:val="00876F38"/>
    <w:rsid w:val="00882733"/>
    <w:rsid w:val="008879EB"/>
    <w:rsid w:val="008900BA"/>
    <w:rsid w:val="00894C5E"/>
    <w:rsid w:val="008A6181"/>
    <w:rsid w:val="008B62E7"/>
    <w:rsid w:val="008C1752"/>
    <w:rsid w:val="008C1FB1"/>
    <w:rsid w:val="008C2601"/>
    <w:rsid w:val="008C532B"/>
    <w:rsid w:val="008C6E1D"/>
    <w:rsid w:val="008C700C"/>
    <w:rsid w:val="008D6A7F"/>
    <w:rsid w:val="00904305"/>
    <w:rsid w:val="00914208"/>
    <w:rsid w:val="00924454"/>
    <w:rsid w:val="00927C36"/>
    <w:rsid w:val="00936BD1"/>
    <w:rsid w:val="009420B1"/>
    <w:rsid w:val="00945D15"/>
    <w:rsid w:val="009532A3"/>
    <w:rsid w:val="009560D8"/>
    <w:rsid w:val="009571D3"/>
    <w:rsid w:val="009574B6"/>
    <w:rsid w:val="009618A3"/>
    <w:rsid w:val="009632A1"/>
    <w:rsid w:val="00965A5E"/>
    <w:rsid w:val="00972DCE"/>
    <w:rsid w:val="00973A42"/>
    <w:rsid w:val="0098013E"/>
    <w:rsid w:val="00981FC5"/>
    <w:rsid w:val="00982787"/>
    <w:rsid w:val="009B092F"/>
    <w:rsid w:val="009B1FBE"/>
    <w:rsid w:val="009B2252"/>
    <w:rsid w:val="009B2BBA"/>
    <w:rsid w:val="009C1CE9"/>
    <w:rsid w:val="009C5A0F"/>
    <w:rsid w:val="009C5AB0"/>
    <w:rsid w:val="009C6111"/>
    <w:rsid w:val="009E37A4"/>
    <w:rsid w:val="009F1E44"/>
    <w:rsid w:val="00A171BF"/>
    <w:rsid w:val="00A2784A"/>
    <w:rsid w:val="00A4215B"/>
    <w:rsid w:val="00A43530"/>
    <w:rsid w:val="00A43A4A"/>
    <w:rsid w:val="00A4447D"/>
    <w:rsid w:val="00A46946"/>
    <w:rsid w:val="00A73183"/>
    <w:rsid w:val="00A738E4"/>
    <w:rsid w:val="00A8480F"/>
    <w:rsid w:val="00A8548A"/>
    <w:rsid w:val="00A8693B"/>
    <w:rsid w:val="00A92F84"/>
    <w:rsid w:val="00AA1C3D"/>
    <w:rsid w:val="00AD0397"/>
    <w:rsid w:val="00AF0E14"/>
    <w:rsid w:val="00AF194B"/>
    <w:rsid w:val="00AF2DAA"/>
    <w:rsid w:val="00AF416D"/>
    <w:rsid w:val="00AF47FE"/>
    <w:rsid w:val="00AF6404"/>
    <w:rsid w:val="00B02BDE"/>
    <w:rsid w:val="00B25F7C"/>
    <w:rsid w:val="00B36451"/>
    <w:rsid w:val="00B51F8A"/>
    <w:rsid w:val="00B54A7F"/>
    <w:rsid w:val="00B64343"/>
    <w:rsid w:val="00B71095"/>
    <w:rsid w:val="00B730DE"/>
    <w:rsid w:val="00B827FC"/>
    <w:rsid w:val="00B90B4C"/>
    <w:rsid w:val="00B91792"/>
    <w:rsid w:val="00BA1467"/>
    <w:rsid w:val="00BA2BF3"/>
    <w:rsid w:val="00BB4F40"/>
    <w:rsid w:val="00BD0DF8"/>
    <w:rsid w:val="00BD0F7E"/>
    <w:rsid w:val="00BD5D89"/>
    <w:rsid w:val="00BD6101"/>
    <w:rsid w:val="00BE00BD"/>
    <w:rsid w:val="00BE37FF"/>
    <w:rsid w:val="00C10346"/>
    <w:rsid w:val="00C16CB8"/>
    <w:rsid w:val="00C27EA2"/>
    <w:rsid w:val="00C41075"/>
    <w:rsid w:val="00C42583"/>
    <w:rsid w:val="00C45713"/>
    <w:rsid w:val="00C7007B"/>
    <w:rsid w:val="00C756DE"/>
    <w:rsid w:val="00CA4DF4"/>
    <w:rsid w:val="00CD39C8"/>
    <w:rsid w:val="00CE1495"/>
    <w:rsid w:val="00CF6072"/>
    <w:rsid w:val="00D02401"/>
    <w:rsid w:val="00D04C71"/>
    <w:rsid w:val="00D11735"/>
    <w:rsid w:val="00D16F76"/>
    <w:rsid w:val="00D2392B"/>
    <w:rsid w:val="00D2557A"/>
    <w:rsid w:val="00D259C4"/>
    <w:rsid w:val="00D34398"/>
    <w:rsid w:val="00D34718"/>
    <w:rsid w:val="00D46BB2"/>
    <w:rsid w:val="00D50695"/>
    <w:rsid w:val="00D528D7"/>
    <w:rsid w:val="00D54110"/>
    <w:rsid w:val="00D6047F"/>
    <w:rsid w:val="00D6116D"/>
    <w:rsid w:val="00D72D9D"/>
    <w:rsid w:val="00D77085"/>
    <w:rsid w:val="00D821AC"/>
    <w:rsid w:val="00D91F89"/>
    <w:rsid w:val="00DA2426"/>
    <w:rsid w:val="00DA6BD5"/>
    <w:rsid w:val="00DA6E05"/>
    <w:rsid w:val="00DB5861"/>
    <w:rsid w:val="00DE2D19"/>
    <w:rsid w:val="00DF1E66"/>
    <w:rsid w:val="00DF2CE6"/>
    <w:rsid w:val="00DF393F"/>
    <w:rsid w:val="00DF7EB2"/>
    <w:rsid w:val="00E127ED"/>
    <w:rsid w:val="00E226C1"/>
    <w:rsid w:val="00E26935"/>
    <w:rsid w:val="00E42AD5"/>
    <w:rsid w:val="00E549F8"/>
    <w:rsid w:val="00E56057"/>
    <w:rsid w:val="00E6152A"/>
    <w:rsid w:val="00E6732C"/>
    <w:rsid w:val="00E70988"/>
    <w:rsid w:val="00E7639C"/>
    <w:rsid w:val="00E83E28"/>
    <w:rsid w:val="00E86318"/>
    <w:rsid w:val="00E911A3"/>
    <w:rsid w:val="00E94736"/>
    <w:rsid w:val="00EA4DB7"/>
    <w:rsid w:val="00EC5BA7"/>
    <w:rsid w:val="00ED35E7"/>
    <w:rsid w:val="00ED4E8F"/>
    <w:rsid w:val="00EE33A5"/>
    <w:rsid w:val="00EE6A93"/>
    <w:rsid w:val="00EE70C2"/>
    <w:rsid w:val="00F14FDA"/>
    <w:rsid w:val="00F171EB"/>
    <w:rsid w:val="00F27C61"/>
    <w:rsid w:val="00F358AC"/>
    <w:rsid w:val="00F41296"/>
    <w:rsid w:val="00F55F54"/>
    <w:rsid w:val="00F85239"/>
    <w:rsid w:val="00F9518B"/>
    <w:rsid w:val="00FC11DD"/>
    <w:rsid w:val="00FD34DC"/>
    <w:rsid w:val="00FD76FE"/>
    <w:rsid w:val="00FE5C4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38"/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6B78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83"/>
  </w:style>
  <w:style w:type="paragraph" w:styleId="Footer">
    <w:name w:val="footer"/>
    <w:basedOn w:val="Normal"/>
    <w:link w:val="FooterChar"/>
    <w:uiPriority w:val="99"/>
    <w:unhideWhenUsed/>
    <w:rsid w:val="00444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83"/>
  </w:style>
  <w:style w:type="paragraph" w:styleId="ListParagraph">
    <w:name w:val="List Paragraph"/>
    <w:basedOn w:val="Normal"/>
    <w:uiPriority w:val="34"/>
    <w:qFormat/>
    <w:rsid w:val="00B25F7C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B25F7C"/>
    <w:rPr>
      <w:rFonts w:ascii="Minion Pro" w:hAnsi="Minion Pro"/>
      <w:b/>
      <w:bCs/>
      <w:smallCaps/>
      <w:spacing w:val="5"/>
      <w:sz w:val="28"/>
    </w:rPr>
  </w:style>
  <w:style w:type="character" w:styleId="Strong">
    <w:name w:val="Strong"/>
    <w:basedOn w:val="DefaultParagraphFont"/>
    <w:uiPriority w:val="22"/>
    <w:qFormat/>
    <w:rsid w:val="00B25F7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B78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38"/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6B78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83"/>
  </w:style>
  <w:style w:type="paragraph" w:styleId="Footer">
    <w:name w:val="footer"/>
    <w:basedOn w:val="Normal"/>
    <w:link w:val="FooterChar"/>
    <w:uiPriority w:val="99"/>
    <w:unhideWhenUsed/>
    <w:rsid w:val="00444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83"/>
  </w:style>
  <w:style w:type="paragraph" w:styleId="ListParagraph">
    <w:name w:val="List Paragraph"/>
    <w:basedOn w:val="Normal"/>
    <w:uiPriority w:val="34"/>
    <w:qFormat/>
    <w:rsid w:val="00B25F7C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B25F7C"/>
    <w:rPr>
      <w:rFonts w:ascii="Minion Pro" w:hAnsi="Minion Pro"/>
      <w:b/>
      <w:bCs/>
      <w:smallCaps/>
      <w:spacing w:val="5"/>
      <w:sz w:val="28"/>
    </w:rPr>
  </w:style>
  <w:style w:type="character" w:styleId="Strong">
    <w:name w:val="Strong"/>
    <w:basedOn w:val="DefaultParagraphFont"/>
    <w:uiPriority w:val="22"/>
    <w:qFormat/>
    <w:rsid w:val="00B25F7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B78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8B85-4A3D-40C8-BCBD-CBB1B64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 News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Garrett T.</dc:creator>
  <cp:lastModifiedBy>Hopkins, Angela Y.</cp:lastModifiedBy>
  <cp:revision>3</cp:revision>
  <cp:lastPrinted>2017-09-21T15:46:00Z</cp:lastPrinted>
  <dcterms:created xsi:type="dcterms:W3CDTF">2017-09-22T19:13:00Z</dcterms:created>
  <dcterms:modified xsi:type="dcterms:W3CDTF">2017-09-25T12:27:00Z</dcterms:modified>
</cp:coreProperties>
</file>